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drawings/drawing6.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drawings/drawing10.xml" ContentType="application/vnd.openxmlformats-officedocument.drawingml.chartshapes+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F0C8B" w14:textId="540F00EC" w:rsidR="004E5468" w:rsidRDefault="00046060" w:rsidP="004E5468">
      <w:pPr>
        <w:pStyle w:val="Sinespaciado"/>
        <w:rPr>
          <w:noProof/>
        </w:rPr>
      </w:pPr>
      <w:bookmarkStart w:id="0" w:name="_Hlk49250386"/>
      <w:bookmarkStart w:id="1" w:name="_Toc410402057"/>
      <w:bookmarkStart w:id="2" w:name="_Toc457550818"/>
      <w:bookmarkEnd w:id="0"/>
      <w:r>
        <w:rPr>
          <w:rFonts w:ascii="Times New Roman" w:hAnsi="Times New Roman" w:cs="Times New Roman"/>
          <w:sz w:val="2"/>
          <w:szCs w:val="24"/>
          <w:lang w:val="es-ES_tradnl" w:eastAsia="es-ES"/>
        </w:rPr>
        <w:tab/>
      </w:r>
    </w:p>
    <w:sdt>
      <w:sdtPr>
        <w:id w:val="1392225966"/>
        <w:docPartObj>
          <w:docPartGallery w:val="Cover Pages"/>
          <w:docPartUnique/>
        </w:docPartObj>
      </w:sdtPr>
      <w:sdtEndPr>
        <w:rPr>
          <w:noProof/>
        </w:rPr>
      </w:sdtEndPr>
      <w:sdtContent>
        <w:p w14:paraId="77F76942" w14:textId="415DBC1F" w:rsidR="004E5468" w:rsidRPr="002E5EB4" w:rsidRDefault="004E5468">
          <w:r w:rsidRPr="002E5EB4">
            <w:rPr>
              <w:noProof/>
            </w:rPr>
            <mc:AlternateContent>
              <mc:Choice Requires="wpg">
                <w:drawing>
                  <wp:anchor distT="0" distB="0" distL="114300" distR="114300" simplePos="0" relativeHeight="251658242" behindDoc="0" locked="0" layoutInCell="1" allowOverlap="1" wp14:anchorId="698E0BB9" wp14:editId="0964B71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6207F2" id="Grupo 149" o:spid="_x0000_s1026" style="position:absolute;margin-left:0;margin-top:0;width:8in;height:95.7pt;z-index:25165824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sidRPr="002E5EB4">
            <w:rPr>
              <w:noProof/>
            </w:rPr>
            <mc:AlternateContent>
              <mc:Choice Requires="wps">
                <w:drawing>
                  <wp:anchor distT="0" distB="0" distL="114300" distR="114300" simplePos="0" relativeHeight="251658241" behindDoc="0" locked="0" layoutInCell="1" allowOverlap="1" wp14:anchorId="64643A13" wp14:editId="4406C75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E0F22" w14:textId="107A6120" w:rsidR="004E5468" w:rsidRPr="00F23510" w:rsidRDefault="00C10517" w:rsidP="008864EA">
                                <w:pPr>
                                  <w:pStyle w:val="Sinespaciado"/>
                                  <w:ind w:left="-709"/>
                                  <w:jc w:val="right"/>
                                  <w:rPr>
                                    <w:rFonts w:ascii="Times New Roman" w:hAnsi="Times New Roman" w:cs="Times New Roman"/>
                                    <w:color w:val="4F81BD" w:themeColor="accent1"/>
                                    <w:sz w:val="44"/>
                                    <w:szCs w:val="44"/>
                                  </w:rPr>
                                </w:pPr>
                                <w:r w:rsidRPr="00F23510">
                                  <w:rPr>
                                    <w:rFonts w:ascii="Times New Roman" w:hAnsi="Times New Roman" w:cs="Times New Roman"/>
                                    <w:color w:val="4F81BD" w:themeColor="accent1"/>
                                    <w:sz w:val="44"/>
                                    <w:szCs w:val="44"/>
                                  </w:rPr>
                                  <w:t xml:space="preserve">Informe </w:t>
                                </w:r>
                                <w:r w:rsidR="00AA58D4" w:rsidRPr="00F23510">
                                  <w:rPr>
                                    <w:rFonts w:ascii="Times New Roman" w:hAnsi="Times New Roman" w:cs="Times New Roman"/>
                                    <w:color w:val="4F81BD" w:themeColor="accent1"/>
                                    <w:sz w:val="44"/>
                                    <w:szCs w:val="44"/>
                                  </w:rPr>
                                  <w:t>para el Gobierno General</w:t>
                                </w:r>
                              </w:p>
                              <w:sdt>
                                <w:sdtPr>
                                  <w:rPr>
                                    <w:rFonts w:ascii="Times New Roman" w:hAnsi="Times New Roman" w:cs="Times New Roman"/>
                                    <w:color w:val="595959" w:themeColor="text1" w:themeTint="A6"/>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645757C7" w14:textId="62169BFE" w:rsidR="004E5468" w:rsidRPr="00F23510" w:rsidRDefault="00C10517"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Dirección de Análisis y Política Fiscal</w:t>
                                    </w:r>
                                  </w:p>
                                </w:sdtContent>
                              </w:sdt>
                              <w:p w14:paraId="4D8FA549" w14:textId="3B95ECF8" w:rsidR="00FF1609" w:rsidRPr="00F23510" w:rsidRDefault="00FF1609"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Ministerio de Finanzas Públicas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4643A13" id="_x0000_t202" coordsize="21600,21600" o:spt="202" path="m,l,21600r21600,l21600,xe">
                    <v:stroke joinstyle="miter"/>
                    <v:path gradientshapeok="t" o:connecttype="rect"/>
                  </v:shapetype>
                  <v:shape id="Cuadro de texto 153" o:spid="_x0000_s1026" type="#_x0000_t202" style="position:absolute;left:0;text-align:left;margin-left:0;margin-top:0;width:8in;height:79.5pt;z-index:251658241;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26BE0F22" w14:textId="107A6120" w:rsidR="004E5468" w:rsidRPr="00F23510" w:rsidRDefault="00C10517" w:rsidP="008864EA">
                          <w:pPr>
                            <w:pStyle w:val="Sinespaciado"/>
                            <w:ind w:left="-709"/>
                            <w:jc w:val="right"/>
                            <w:rPr>
                              <w:rFonts w:ascii="Times New Roman" w:hAnsi="Times New Roman" w:cs="Times New Roman"/>
                              <w:color w:val="4F81BD" w:themeColor="accent1"/>
                              <w:sz w:val="44"/>
                              <w:szCs w:val="44"/>
                            </w:rPr>
                          </w:pPr>
                          <w:r w:rsidRPr="00F23510">
                            <w:rPr>
                              <w:rFonts w:ascii="Times New Roman" w:hAnsi="Times New Roman" w:cs="Times New Roman"/>
                              <w:color w:val="4F81BD" w:themeColor="accent1"/>
                              <w:sz w:val="44"/>
                              <w:szCs w:val="44"/>
                            </w:rPr>
                            <w:t xml:space="preserve">Informe </w:t>
                          </w:r>
                          <w:r w:rsidR="00AA58D4" w:rsidRPr="00F23510">
                            <w:rPr>
                              <w:rFonts w:ascii="Times New Roman" w:hAnsi="Times New Roman" w:cs="Times New Roman"/>
                              <w:color w:val="4F81BD" w:themeColor="accent1"/>
                              <w:sz w:val="44"/>
                              <w:szCs w:val="44"/>
                            </w:rPr>
                            <w:t>para el Gobierno General</w:t>
                          </w:r>
                        </w:p>
                        <w:sdt>
                          <w:sdtPr>
                            <w:rPr>
                              <w:rFonts w:ascii="Times New Roman" w:hAnsi="Times New Roman" w:cs="Times New Roman"/>
                              <w:color w:val="595959" w:themeColor="text1" w:themeTint="A6"/>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645757C7" w14:textId="62169BFE" w:rsidR="004E5468" w:rsidRPr="00F23510" w:rsidRDefault="00C10517"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Dirección de Análisis y Política Fiscal</w:t>
                              </w:r>
                            </w:p>
                          </w:sdtContent>
                        </w:sdt>
                        <w:p w14:paraId="4D8FA549" w14:textId="3B95ECF8" w:rsidR="00FF1609" w:rsidRPr="00F23510" w:rsidRDefault="00FF1609" w:rsidP="00CA7491">
                          <w:pPr>
                            <w:pStyle w:val="Sinespaciado"/>
                            <w:spacing w:before="0"/>
                            <w:jc w:val="right"/>
                            <w:rPr>
                              <w:rFonts w:ascii="Times New Roman" w:hAnsi="Times New Roman" w:cs="Times New Roman"/>
                              <w:color w:val="595959" w:themeColor="text1" w:themeTint="A6"/>
                            </w:rPr>
                          </w:pPr>
                          <w:r w:rsidRPr="00F23510">
                            <w:rPr>
                              <w:rFonts w:ascii="Times New Roman" w:hAnsi="Times New Roman" w:cs="Times New Roman"/>
                              <w:color w:val="595959" w:themeColor="text1" w:themeTint="A6"/>
                            </w:rPr>
                            <w:t>Ministerio de Finanzas Públicas</w:t>
                          </w:r>
                        </w:p>
                      </w:txbxContent>
                    </v:textbox>
                    <w10:wrap type="square" anchorx="page" anchory="page"/>
                  </v:shape>
                </w:pict>
              </mc:Fallback>
            </mc:AlternateContent>
          </w:r>
          <w:r w:rsidRPr="002E5EB4">
            <w:rPr>
              <w:noProof/>
            </w:rPr>
            <mc:AlternateContent>
              <mc:Choice Requires="wps">
                <w:drawing>
                  <wp:anchor distT="0" distB="0" distL="114300" distR="114300" simplePos="0" relativeHeight="251658240" behindDoc="0" locked="0" layoutInCell="1" allowOverlap="1" wp14:anchorId="5E7E5FA8" wp14:editId="312891F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F51A0" w14:textId="60E966E5" w:rsidR="004E5468" w:rsidRDefault="00044A1E">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5468">
                                      <w:rPr>
                                        <w:caps/>
                                        <w:color w:val="4F81BD" w:themeColor="accent1"/>
                                        <w:sz w:val="64"/>
                                        <w:szCs w:val="64"/>
                                      </w:rPr>
                                      <w:t>Informe de las Finanzas públicas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D7B22EA" w14:textId="782B1E29" w:rsidR="004E5468" w:rsidRDefault="00D70C89">
                                    <w:pPr>
                                      <w:jc w:val="right"/>
                                      <w:rPr>
                                        <w:smallCaps/>
                                        <w:color w:val="404040" w:themeColor="text1" w:themeTint="BF"/>
                                        <w:sz w:val="36"/>
                                        <w:szCs w:val="36"/>
                                      </w:rPr>
                                    </w:pPr>
                                    <w:r>
                                      <w:rPr>
                                        <w:color w:val="404040" w:themeColor="text1" w:themeTint="BF"/>
                                        <w:sz w:val="36"/>
                                        <w:szCs w:val="36"/>
                                      </w:rPr>
                                      <w:t xml:space="preserve">Tercer </w:t>
                                    </w:r>
                                    <w:r w:rsidR="00C5741B">
                                      <w:rPr>
                                        <w:color w:val="404040" w:themeColor="text1" w:themeTint="BF"/>
                                        <w:sz w:val="36"/>
                                        <w:szCs w:val="36"/>
                                      </w:rPr>
                                      <w:t>Trimestre</w:t>
                                    </w:r>
                                    <w:r w:rsidR="004E5468">
                                      <w:rPr>
                                        <w:color w:val="404040" w:themeColor="text1" w:themeTint="BF"/>
                                        <w:sz w:val="36"/>
                                        <w:szCs w:val="36"/>
                                      </w:rPr>
                                      <w:t xml:space="preserve"> 202</w:t>
                                    </w:r>
                                    <w:r w:rsidR="00C5741B">
                                      <w:rPr>
                                        <w:color w:val="404040" w:themeColor="text1" w:themeTint="BF"/>
                                        <w:sz w:val="36"/>
                                        <w:szCs w:val="36"/>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E7E5FA8" id="Cuadro de texto 154" o:spid="_x0000_s1027"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05CF51A0" w14:textId="60E966E5" w:rsidR="004E5468" w:rsidRDefault="00044A1E">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5468">
                                <w:rPr>
                                  <w:caps/>
                                  <w:color w:val="4F81BD" w:themeColor="accent1"/>
                                  <w:sz w:val="64"/>
                                  <w:szCs w:val="64"/>
                                </w:rPr>
                                <w:t>Informe de las Finanzas públicas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D7B22EA" w14:textId="782B1E29" w:rsidR="004E5468" w:rsidRDefault="00D70C89">
                              <w:pPr>
                                <w:jc w:val="right"/>
                                <w:rPr>
                                  <w:smallCaps/>
                                  <w:color w:val="404040" w:themeColor="text1" w:themeTint="BF"/>
                                  <w:sz w:val="36"/>
                                  <w:szCs w:val="36"/>
                                </w:rPr>
                              </w:pPr>
                              <w:r>
                                <w:rPr>
                                  <w:color w:val="404040" w:themeColor="text1" w:themeTint="BF"/>
                                  <w:sz w:val="36"/>
                                  <w:szCs w:val="36"/>
                                </w:rPr>
                                <w:t xml:space="preserve">Tercer </w:t>
                              </w:r>
                              <w:r w:rsidR="00C5741B">
                                <w:rPr>
                                  <w:color w:val="404040" w:themeColor="text1" w:themeTint="BF"/>
                                  <w:sz w:val="36"/>
                                  <w:szCs w:val="36"/>
                                </w:rPr>
                                <w:t>Trimestre</w:t>
                              </w:r>
                              <w:r w:rsidR="004E5468">
                                <w:rPr>
                                  <w:color w:val="404040" w:themeColor="text1" w:themeTint="BF"/>
                                  <w:sz w:val="36"/>
                                  <w:szCs w:val="36"/>
                                </w:rPr>
                                <w:t xml:space="preserve"> 202</w:t>
                              </w:r>
                              <w:r w:rsidR="00C5741B">
                                <w:rPr>
                                  <w:color w:val="404040" w:themeColor="text1" w:themeTint="BF"/>
                                  <w:sz w:val="36"/>
                                  <w:szCs w:val="36"/>
                                </w:rPr>
                                <w:t>3</w:t>
                              </w:r>
                            </w:p>
                          </w:sdtContent>
                        </w:sdt>
                      </w:txbxContent>
                    </v:textbox>
                    <w10:wrap type="square" anchorx="page" anchory="page"/>
                  </v:shape>
                </w:pict>
              </mc:Fallback>
            </mc:AlternateContent>
          </w:r>
        </w:p>
        <w:p w14:paraId="68D4ABDD" w14:textId="27D7DC3D" w:rsidR="004E5468" w:rsidRPr="002E5EB4" w:rsidRDefault="004E5468">
          <w:pPr>
            <w:spacing w:after="200" w:line="276" w:lineRule="auto"/>
            <w:jc w:val="left"/>
            <w:rPr>
              <w:b/>
              <w:bCs/>
              <w:noProof/>
            </w:rPr>
          </w:pPr>
          <w:r w:rsidRPr="002E5EB4">
            <w:rPr>
              <w:rFonts w:eastAsiaTheme="majorEastAsia" w:cs="Times New Roman"/>
              <w:b/>
              <w:bCs/>
              <w:noProof/>
              <w:color w:val="FF0000"/>
              <w:szCs w:val="26"/>
            </w:rPr>
            <w:drawing>
              <wp:anchor distT="0" distB="0" distL="114300" distR="114300" simplePos="0" relativeHeight="251658243" behindDoc="0" locked="0" layoutInCell="1" allowOverlap="1" wp14:anchorId="12279784" wp14:editId="26D5E24E">
                <wp:simplePos x="0" y="0"/>
                <wp:positionH relativeFrom="margin">
                  <wp:align>center</wp:align>
                </wp:positionH>
                <wp:positionV relativeFrom="paragraph">
                  <wp:posOffset>462271</wp:posOffset>
                </wp:positionV>
                <wp:extent cx="1677670" cy="1845310"/>
                <wp:effectExtent l="0" t="0" r="0" b="2540"/>
                <wp:wrapSquare wrapText="bothSides"/>
                <wp:docPr id="292517484" name="Imagen 292517484" descr="Logotipo, nombre de la empresa&#10;&#10;Descripción generada automáticamente">
                  <a:extLst xmlns:a="http://schemas.openxmlformats.org/drawingml/2006/main">
                    <a:ext uri="{FF2B5EF4-FFF2-40B4-BE49-F238E27FC236}">
                      <a16:creationId xmlns:a16="http://schemas.microsoft.com/office/drawing/2014/main" id="{B2026591-938B-AFE1-1A8B-110537A1E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17484" name="Imagen 292517484" descr="Logotipo, nombre de la empresa&#10;&#10;Descripción generada automáticamente">
                          <a:extLst>
                            <a:ext uri="{FF2B5EF4-FFF2-40B4-BE49-F238E27FC236}">
                              <a16:creationId xmlns:a16="http://schemas.microsoft.com/office/drawing/2014/main" id="{B2026591-938B-AFE1-1A8B-110537A1EC5F}"/>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6457" t="14032" r="16881" b="12626"/>
                        <a:stretch/>
                      </pic:blipFill>
                      <pic:spPr bwMode="auto">
                        <a:xfrm>
                          <a:off x="0" y="0"/>
                          <a:ext cx="1677670" cy="1845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5EB4">
            <w:rPr>
              <w:noProof/>
              <w:sz w:val="22"/>
              <w:szCs w:val="24"/>
              <w:lang w:eastAsia="es-ES"/>
            </w:rPr>
            <w:br w:type="page"/>
          </w:r>
        </w:p>
      </w:sdtContent>
    </w:sdt>
    <w:sdt>
      <w:sdtPr>
        <w:rPr>
          <w:rFonts w:cs="Times New Roman"/>
          <w:b/>
          <w:bCs/>
          <w:caps w:val="0"/>
          <w:color w:val="auto"/>
          <w:spacing w:val="0"/>
          <w:sz w:val="20"/>
          <w:szCs w:val="24"/>
          <w:lang w:val="es-ES" w:eastAsia="es-ES"/>
        </w:rPr>
        <w:id w:val="-1412613934"/>
        <w:docPartObj>
          <w:docPartGallery w:val="Table of Contents"/>
          <w:docPartUnique/>
        </w:docPartObj>
      </w:sdtPr>
      <w:sdtEndPr>
        <w:rPr>
          <w:b w:val="0"/>
          <w:bCs w:val="0"/>
          <w:color w:val="FF0000"/>
          <w:szCs w:val="20"/>
          <w:lang w:eastAsia="en-US"/>
        </w:rPr>
      </w:sdtEndPr>
      <w:sdtContent>
        <w:p w14:paraId="14EA01E7" w14:textId="6B70FE32" w:rsidR="0032588B" w:rsidRPr="002E5EB4" w:rsidRDefault="0032588B" w:rsidP="000D58D6">
          <w:pPr>
            <w:pStyle w:val="TtuloTDC"/>
            <w:jc w:val="center"/>
            <w:rPr>
              <w:rFonts w:cs="Times New Roman"/>
              <w:szCs w:val="24"/>
              <w:lang w:val="es-ES"/>
            </w:rPr>
          </w:pPr>
          <w:r w:rsidRPr="002E5EB4">
            <w:rPr>
              <w:rFonts w:cs="Times New Roman"/>
              <w:szCs w:val="24"/>
              <w:lang w:val="es-ES"/>
            </w:rPr>
            <w:t>Contenido</w:t>
          </w:r>
        </w:p>
        <w:p w14:paraId="278688BD" w14:textId="191E303F" w:rsidR="007B0A85" w:rsidRDefault="0032588B">
          <w:pPr>
            <w:pStyle w:val="TDC1"/>
            <w:rPr>
              <w:rFonts w:asciiTheme="minorHAnsi" w:eastAsiaTheme="minorEastAsia" w:hAnsiTheme="minorHAnsi" w:cstheme="minorBidi"/>
              <w:b w:val="0"/>
              <w:bCs w:val="0"/>
              <w:kern w:val="2"/>
              <w:sz w:val="24"/>
              <w:szCs w:val="24"/>
              <w:lang w:eastAsia="es-GT"/>
              <w14:ligatures w14:val="standardContextual"/>
            </w:rPr>
          </w:pPr>
          <w:r w:rsidRPr="002E5EB4">
            <w:rPr>
              <w:color w:val="FF0000"/>
              <w:lang w:val="es-ES_tradnl"/>
            </w:rPr>
            <w:fldChar w:fldCharType="begin"/>
          </w:r>
          <w:r w:rsidRPr="002E5EB4">
            <w:rPr>
              <w:color w:val="FF0000"/>
            </w:rPr>
            <w:instrText xml:space="preserve"> TOC \o "1-3" \h \z \u </w:instrText>
          </w:r>
          <w:r w:rsidRPr="002E5EB4">
            <w:rPr>
              <w:color w:val="FF0000"/>
              <w:lang w:val="es-ES_tradnl"/>
            </w:rPr>
            <w:fldChar w:fldCharType="separate"/>
          </w:r>
          <w:hyperlink w:anchor="_Toc154158258" w:history="1">
            <w:r w:rsidR="007B0A85" w:rsidRPr="00EF72A5">
              <w:rPr>
                <w:rStyle w:val="Hipervnculo"/>
                <w:lang w:val="es-ES_tradnl" w:eastAsia="es-ES"/>
              </w:rPr>
              <w:t>Introducción</w:t>
            </w:r>
            <w:r w:rsidR="007B0A85">
              <w:rPr>
                <w:webHidden/>
              </w:rPr>
              <w:tab/>
            </w:r>
            <w:r w:rsidR="007B0A85">
              <w:rPr>
                <w:webHidden/>
              </w:rPr>
              <w:fldChar w:fldCharType="begin"/>
            </w:r>
            <w:r w:rsidR="007B0A85">
              <w:rPr>
                <w:webHidden/>
              </w:rPr>
              <w:instrText xml:space="preserve"> PAGEREF _Toc154158258 \h </w:instrText>
            </w:r>
            <w:r w:rsidR="007B0A85">
              <w:rPr>
                <w:webHidden/>
              </w:rPr>
            </w:r>
            <w:r w:rsidR="007B0A85">
              <w:rPr>
                <w:webHidden/>
              </w:rPr>
              <w:fldChar w:fldCharType="separate"/>
            </w:r>
            <w:r w:rsidR="00044A1E">
              <w:rPr>
                <w:webHidden/>
              </w:rPr>
              <w:t>2</w:t>
            </w:r>
            <w:r w:rsidR="007B0A85">
              <w:rPr>
                <w:webHidden/>
              </w:rPr>
              <w:fldChar w:fldCharType="end"/>
            </w:r>
          </w:hyperlink>
        </w:p>
        <w:p w14:paraId="6F3894B9" w14:textId="211D6873"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59" w:history="1">
            <w:r w:rsidRPr="00EF72A5">
              <w:rPr>
                <w:rStyle w:val="Hipervnculo"/>
                <w:lang w:val="es-ES_tradnl" w:eastAsia="es-ES"/>
              </w:rPr>
              <w:t>Cambios Metodológicos 2023</w:t>
            </w:r>
            <w:r>
              <w:rPr>
                <w:webHidden/>
              </w:rPr>
              <w:tab/>
            </w:r>
            <w:r>
              <w:rPr>
                <w:webHidden/>
              </w:rPr>
              <w:fldChar w:fldCharType="begin"/>
            </w:r>
            <w:r>
              <w:rPr>
                <w:webHidden/>
              </w:rPr>
              <w:instrText xml:space="preserve"> PAGEREF _Toc154158259 \h </w:instrText>
            </w:r>
            <w:r>
              <w:rPr>
                <w:webHidden/>
              </w:rPr>
            </w:r>
            <w:r>
              <w:rPr>
                <w:webHidden/>
              </w:rPr>
              <w:fldChar w:fldCharType="separate"/>
            </w:r>
            <w:r w:rsidR="00044A1E">
              <w:rPr>
                <w:webHidden/>
              </w:rPr>
              <w:t>2</w:t>
            </w:r>
            <w:r>
              <w:rPr>
                <w:webHidden/>
              </w:rPr>
              <w:fldChar w:fldCharType="end"/>
            </w:r>
          </w:hyperlink>
        </w:p>
        <w:p w14:paraId="68AE63C8" w14:textId="399EAD1D"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60" w:history="1">
            <w:r w:rsidRPr="00EF72A5">
              <w:rPr>
                <w:rStyle w:val="Hipervnculo"/>
                <w:lang w:val="es-ES_tradnl" w:eastAsia="es-ES"/>
              </w:rPr>
              <w:t>1.</w:t>
            </w:r>
            <w:r>
              <w:rPr>
                <w:rFonts w:asciiTheme="minorHAnsi" w:eastAsiaTheme="minorEastAsia" w:hAnsiTheme="minorHAnsi" w:cstheme="minorBidi"/>
                <w:b w:val="0"/>
                <w:bCs w:val="0"/>
                <w:kern w:val="2"/>
                <w:sz w:val="24"/>
                <w:szCs w:val="24"/>
                <w:lang w:eastAsia="es-GT"/>
                <w14:ligatures w14:val="standardContextual"/>
              </w:rPr>
              <w:tab/>
            </w:r>
            <w:r w:rsidRPr="00EF72A5">
              <w:rPr>
                <w:rStyle w:val="Hipervnculo"/>
                <w:lang w:val="es-ES_tradnl" w:eastAsia="es-ES"/>
              </w:rPr>
              <w:t>Ingresos</w:t>
            </w:r>
            <w:r>
              <w:rPr>
                <w:webHidden/>
              </w:rPr>
              <w:tab/>
            </w:r>
            <w:r>
              <w:rPr>
                <w:webHidden/>
              </w:rPr>
              <w:fldChar w:fldCharType="begin"/>
            </w:r>
            <w:r>
              <w:rPr>
                <w:webHidden/>
              </w:rPr>
              <w:instrText xml:space="preserve"> PAGEREF _Toc154158260 \h </w:instrText>
            </w:r>
            <w:r>
              <w:rPr>
                <w:webHidden/>
              </w:rPr>
            </w:r>
            <w:r>
              <w:rPr>
                <w:webHidden/>
              </w:rPr>
              <w:fldChar w:fldCharType="separate"/>
            </w:r>
            <w:r w:rsidR="00044A1E">
              <w:rPr>
                <w:webHidden/>
              </w:rPr>
              <w:t>2</w:t>
            </w:r>
            <w:r>
              <w:rPr>
                <w:webHidden/>
              </w:rPr>
              <w:fldChar w:fldCharType="end"/>
            </w:r>
          </w:hyperlink>
        </w:p>
        <w:p w14:paraId="0536E320" w14:textId="751AD629" w:rsidR="007B0A85" w:rsidRDefault="007B0A85">
          <w:pPr>
            <w:pStyle w:val="TDC2"/>
            <w:rPr>
              <w:rFonts w:asciiTheme="minorHAnsi" w:hAnsiTheme="minorHAnsi"/>
              <w:noProof/>
              <w:kern w:val="2"/>
              <w:sz w:val="24"/>
              <w:szCs w:val="24"/>
              <w:lang w:eastAsia="es-GT"/>
              <w14:ligatures w14:val="standardContextual"/>
            </w:rPr>
          </w:pPr>
          <w:hyperlink w:anchor="_Toc154158261" w:history="1">
            <w:r w:rsidRPr="00EF72A5">
              <w:rPr>
                <w:rStyle w:val="Hipervnculo"/>
                <w:rFonts w:cs="Times New Roman"/>
                <w:noProof/>
              </w:rPr>
              <w:t>1.1</w:t>
            </w:r>
            <w:r>
              <w:rPr>
                <w:rFonts w:asciiTheme="minorHAnsi" w:hAnsiTheme="minorHAnsi"/>
                <w:noProof/>
                <w:kern w:val="2"/>
                <w:sz w:val="24"/>
                <w:szCs w:val="24"/>
                <w:lang w:eastAsia="es-GT"/>
                <w14:ligatures w14:val="standardContextual"/>
              </w:rPr>
              <w:tab/>
            </w:r>
            <w:r w:rsidRPr="00EF72A5">
              <w:rPr>
                <w:rStyle w:val="Hipervnculo"/>
                <w:rFonts w:cs="Times New Roman"/>
                <w:noProof/>
              </w:rPr>
              <w:t>Los ingresos continúan desacelerándose</w:t>
            </w:r>
            <w:r>
              <w:rPr>
                <w:noProof/>
                <w:webHidden/>
              </w:rPr>
              <w:tab/>
            </w:r>
            <w:r>
              <w:rPr>
                <w:noProof/>
                <w:webHidden/>
              </w:rPr>
              <w:fldChar w:fldCharType="begin"/>
            </w:r>
            <w:r>
              <w:rPr>
                <w:noProof/>
                <w:webHidden/>
              </w:rPr>
              <w:instrText xml:space="preserve"> PAGEREF _Toc154158261 \h </w:instrText>
            </w:r>
            <w:r>
              <w:rPr>
                <w:noProof/>
                <w:webHidden/>
              </w:rPr>
            </w:r>
            <w:r>
              <w:rPr>
                <w:noProof/>
                <w:webHidden/>
              </w:rPr>
              <w:fldChar w:fldCharType="separate"/>
            </w:r>
            <w:r w:rsidR="00044A1E">
              <w:rPr>
                <w:noProof/>
                <w:webHidden/>
              </w:rPr>
              <w:t>2</w:t>
            </w:r>
            <w:r>
              <w:rPr>
                <w:noProof/>
                <w:webHidden/>
              </w:rPr>
              <w:fldChar w:fldCharType="end"/>
            </w:r>
          </w:hyperlink>
        </w:p>
        <w:p w14:paraId="25B3F295" w14:textId="351461EF" w:rsidR="007B0A85" w:rsidRDefault="007B0A85">
          <w:pPr>
            <w:pStyle w:val="TDC2"/>
            <w:rPr>
              <w:rFonts w:asciiTheme="minorHAnsi" w:hAnsiTheme="minorHAnsi"/>
              <w:noProof/>
              <w:kern w:val="2"/>
              <w:sz w:val="24"/>
              <w:szCs w:val="24"/>
              <w:lang w:eastAsia="es-GT"/>
              <w14:ligatures w14:val="standardContextual"/>
            </w:rPr>
          </w:pPr>
          <w:hyperlink w:anchor="_Toc154158262" w:history="1">
            <w:r w:rsidRPr="00EF72A5">
              <w:rPr>
                <w:rStyle w:val="Hipervnculo"/>
                <w:rFonts w:cs="Times New Roman"/>
                <w:noProof/>
              </w:rPr>
              <w:t>1.2</w:t>
            </w:r>
            <w:r>
              <w:rPr>
                <w:rFonts w:asciiTheme="minorHAnsi" w:hAnsiTheme="minorHAnsi"/>
                <w:noProof/>
                <w:kern w:val="2"/>
                <w:sz w:val="24"/>
                <w:szCs w:val="24"/>
                <w:lang w:eastAsia="es-GT"/>
                <w14:ligatures w14:val="standardContextual"/>
              </w:rPr>
              <w:tab/>
            </w:r>
            <w:r w:rsidRPr="00EF72A5">
              <w:rPr>
                <w:rStyle w:val="Hipervnculo"/>
                <w:rFonts w:cs="Times New Roman"/>
                <w:noProof/>
              </w:rPr>
              <w:t>La recaudación crece, pero a menor ritmo</w:t>
            </w:r>
            <w:r>
              <w:rPr>
                <w:noProof/>
                <w:webHidden/>
              </w:rPr>
              <w:tab/>
            </w:r>
            <w:r>
              <w:rPr>
                <w:noProof/>
                <w:webHidden/>
              </w:rPr>
              <w:fldChar w:fldCharType="begin"/>
            </w:r>
            <w:r>
              <w:rPr>
                <w:noProof/>
                <w:webHidden/>
              </w:rPr>
              <w:instrText xml:space="preserve"> PAGEREF _Toc154158262 \h </w:instrText>
            </w:r>
            <w:r>
              <w:rPr>
                <w:noProof/>
                <w:webHidden/>
              </w:rPr>
            </w:r>
            <w:r>
              <w:rPr>
                <w:noProof/>
                <w:webHidden/>
              </w:rPr>
              <w:fldChar w:fldCharType="separate"/>
            </w:r>
            <w:r w:rsidR="00044A1E">
              <w:rPr>
                <w:noProof/>
                <w:webHidden/>
              </w:rPr>
              <w:t>3</w:t>
            </w:r>
            <w:r>
              <w:rPr>
                <w:noProof/>
                <w:webHidden/>
              </w:rPr>
              <w:fldChar w:fldCharType="end"/>
            </w:r>
          </w:hyperlink>
        </w:p>
        <w:p w14:paraId="036DFB33" w14:textId="4D904C36" w:rsidR="007B0A85" w:rsidRDefault="007B0A85">
          <w:pPr>
            <w:pStyle w:val="TDC2"/>
            <w:rPr>
              <w:rFonts w:asciiTheme="minorHAnsi" w:hAnsiTheme="minorHAnsi"/>
              <w:noProof/>
              <w:kern w:val="2"/>
              <w:sz w:val="24"/>
              <w:szCs w:val="24"/>
              <w:lang w:eastAsia="es-GT"/>
              <w14:ligatures w14:val="standardContextual"/>
            </w:rPr>
          </w:pPr>
          <w:hyperlink w:anchor="_Toc154158263" w:history="1">
            <w:r w:rsidRPr="00EF72A5">
              <w:rPr>
                <w:rStyle w:val="Hipervnculo"/>
                <w:rFonts w:cs="Times New Roman"/>
                <w:noProof/>
              </w:rPr>
              <w:t>1.3</w:t>
            </w:r>
            <w:r>
              <w:rPr>
                <w:rFonts w:asciiTheme="minorHAnsi" w:hAnsiTheme="minorHAnsi"/>
                <w:noProof/>
                <w:kern w:val="2"/>
                <w:sz w:val="24"/>
                <w:szCs w:val="24"/>
                <w:lang w:eastAsia="es-GT"/>
                <w14:ligatures w14:val="standardContextual"/>
              </w:rPr>
              <w:tab/>
            </w:r>
            <w:r w:rsidRPr="00EF72A5">
              <w:rPr>
                <w:rStyle w:val="Hipervnculo"/>
                <w:rFonts w:cs="Times New Roman"/>
                <w:noProof/>
              </w:rPr>
              <w:t>Las contribuciones sociales mejoran en el tercer trimestre</w:t>
            </w:r>
            <w:r>
              <w:rPr>
                <w:noProof/>
                <w:webHidden/>
              </w:rPr>
              <w:tab/>
            </w:r>
            <w:r>
              <w:rPr>
                <w:noProof/>
                <w:webHidden/>
              </w:rPr>
              <w:fldChar w:fldCharType="begin"/>
            </w:r>
            <w:r>
              <w:rPr>
                <w:noProof/>
                <w:webHidden/>
              </w:rPr>
              <w:instrText xml:space="preserve"> PAGEREF _Toc154158263 \h </w:instrText>
            </w:r>
            <w:r>
              <w:rPr>
                <w:noProof/>
                <w:webHidden/>
              </w:rPr>
            </w:r>
            <w:r>
              <w:rPr>
                <w:noProof/>
                <w:webHidden/>
              </w:rPr>
              <w:fldChar w:fldCharType="separate"/>
            </w:r>
            <w:r w:rsidR="00044A1E">
              <w:rPr>
                <w:noProof/>
                <w:webHidden/>
              </w:rPr>
              <w:t>4</w:t>
            </w:r>
            <w:r>
              <w:rPr>
                <w:noProof/>
                <w:webHidden/>
              </w:rPr>
              <w:fldChar w:fldCharType="end"/>
            </w:r>
          </w:hyperlink>
        </w:p>
        <w:p w14:paraId="2D4A886E" w14:textId="32CA51F1"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67" w:history="1">
            <w:r w:rsidRPr="00EF72A5">
              <w:rPr>
                <w:rStyle w:val="Hipervnculo"/>
                <w:lang w:val="es-ES_tradnl" w:eastAsia="es-ES"/>
              </w:rPr>
              <w:t>2.</w:t>
            </w:r>
            <w:r>
              <w:rPr>
                <w:rFonts w:asciiTheme="minorHAnsi" w:eastAsiaTheme="minorEastAsia" w:hAnsiTheme="minorHAnsi" w:cstheme="minorBidi"/>
                <w:b w:val="0"/>
                <w:bCs w:val="0"/>
                <w:kern w:val="2"/>
                <w:sz w:val="24"/>
                <w:szCs w:val="24"/>
                <w:lang w:eastAsia="es-GT"/>
                <w14:ligatures w14:val="standardContextual"/>
              </w:rPr>
              <w:tab/>
            </w:r>
            <w:r w:rsidRPr="00EF72A5">
              <w:rPr>
                <w:rStyle w:val="Hipervnculo"/>
                <w:lang w:val="es-ES_tradnl" w:eastAsia="es-ES"/>
              </w:rPr>
              <w:t>Gasto Público</w:t>
            </w:r>
            <w:r>
              <w:rPr>
                <w:webHidden/>
              </w:rPr>
              <w:tab/>
            </w:r>
            <w:r>
              <w:rPr>
                <w:webHidden/>
              </w:rPr>
              <w:fldChar w:fldCharType="begin"/>
            </w:r>
            <w:r>
              <w:rPr>
                <w:webHidden/>
              </w:rPr>
              <w:instrText xml:space="preserve"> PAGEREF _Toc154158267 \h </w:instrText>
            </w:r>
            <w:r>
              <w:rPr>
                <w:webHidden/>
              </w:rPr>
            </w:r>
            <w:r>
              <w:rPr>
                <w:webHidden/>
              </w:rPr>
              <w:fldChar w:fldCharType="separate"/>
            </w:r>
            <w:r w:rsidR="00044A1E">
              <w:rPr>
                <w:webHidden/>
              </w:rPr>
              <w:t>4</w:t>
            </w:r>
            <w:r>
              <w:rPr>
                <w:webHidden/>
              </w:rPr>
              <w:fldChar w:fldCharType="end"/>
            </w:r>
          </w:hyperlink>
        </w:p>
        <w:p w14:paraId="1F60A095" w14:textId="6AA6EAFE" w:rsidR="007B0A85" w:rsidRDefault="007B0A85">
          <w:pPr>
            <w:pStyle w:val="TDC2"/>
            <w:rPr>
              <w:rFonts w:asciiTheme="minorHAnsi" w:hAnsiTheme="minorHAnsi"/>
              <w:noProof/>
              <w:kern w:val="2"/>
              <w:sz w:val="24"/>
              <w:szCs w:val="24"/>
              <w:lang w:eastAsia="es-GT"/>
              <w14:ligatures w14:val="standardContextual"/>
            </w:rPr>
          </w:pPr>
          <w:hyperlink w:anchor="_Toc154158271" w:history="1">
            <w:r w:rsidRPr="00EF72A5">
              <w:rPr>
                <w:rStyle w:val="Hipervnculo"/>
                <w:rFonts w:cs="Times New Roman"/>
                <w:noProof/>
              </w:rPr>
              <w:t>2.1</w:t>
            </w:r>
            <w:r>
              <w:rPr>
                <w:rFonts w:asciiTheme="minorHAnsi" w:hAnsiTheme="minorHAnsi"/>
                <w:noProof/>
                <w:kern w:val="2"/>
                <w:sz w:val="24"/>
                <w:szCs w:val="24"/>
                <w:lang w:eastAsia="es-GT"/>
                <w14:ligatures w14:val="standardContextual"/>
              </w:rPr>
              <w:tab/>
            </w:r>
            <w:r w:rsidRPr="00EF72A5">
              <w:rPr>
                <w:rStyle w:val="Hipervnculo"/>
                <w:rFonts w:cs="Times New Roman"/>
                <w:noProof/>
              </w:rPr>
              <w:t>El gasto con menor dinamismo</w:t>
            </w:r>
            <w:r>
              <w:rPr>
                <w:noProof/>
                <w:webHidden/>
              </w:rPr>
              <w:tab/>
            </w:r>
            <w:r>
              <w:rPr>
                <w:noProof/>
                <w:webHidden/>
              </w:rPr>
              <w:fldChar w:fldCharType="begin"/>
            </w:r>
            <w:r>
              <w:rPr>
                <w:noProof/>
                <w:webHidden/>
              </w:rPr>
              <w:instrText xml:space="preserve"> PAGEREF _Toc154158271 \h </w:instrText>
            </w:r>
            <w:r>
              <w:rPr>
                <w:noProof/>
                <w:webHidden/>
              </w:rPr>
            </w:r>
            <w:r>
              <w:rPr>
                <w:noProof/>
                <w:webHidden/>
              </w:rPr>
              <w:fldChar w:fldCharType="separate"/>
            </w:r>
            <w:r w:rsidR="00044A1E">
              <w:rPr>
                <w:noProof/>
                <w:webHidden/>
              </w:rPr>
              <w:t>4</w:t>
            </w:r>
            <w:r>
              <w:rPr>
                <w:noProof/>
                <w:webHidden/>
              </w:rPr>
              <w:fldChar w:fldCharType="end"/>
            </w:r>
          </w:hyperlink>
        </w:p>
        <w:p w14:paraId="58FD2595" w14:textId="1F180147"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72" w:history="1">
            <w:r w:rsidRPr="00EF72A5">
              <w:rPr>
                <w:rStyle w:val="Hipervnculo"/>
              </w:rPr>
              <w:t>3</w:t>
            </w:r>
            <w:r>
              <w:rPr>
                <w:rFonts w:asciiTheme="minorHAnsi" w:eastAsiaTheme="minorEastAsia" w:hAnsiTheme="minorHAnsi" w:cstheme="minorBidi"/>
                <w:b w:val="0"/>
                <w:bCs w:val="0"/>
                <w:kern w:val="2"/>
                <w:sz w:val="24"/>
                <w:szCs w:val="24"/>
                <w:lang w:eastAsia="es-GT"/>
                <w14:ligatures w14:val="standardContextual"/>
              </w:rPr>
              <w:tab/>
            </w:r>
            <w:r w:rsidRPr="00EF72A5">
              <w:rPr>
                <w:rStyle w:val="Hipervnculo"/>
                <w:lang w:val="es-MX"/>
              </w:rPr>
              <w:t>Transacciones en Activos No Financieros</w:t>
            </w:r>
            <w:r>
              <w:rPr>
                <w:webHidden/>
              </w:rPr>
              <w:tab/>
            </w:r>
            <w:r>
              <w:rPr>
                <w:webHidden/>
              </w:rPr>
              <w:fldChar w:fldCharType="begin"/>
            </w:r>
            <w:r>
              <w:rPr>
                <w:webHidden/>
              </w:rPr>
              <w:instrText xml:space="preserve"> PAGEREF _Toc154158272 \h </w:instrText>
            </w:r>
            <w:r>
              <w:rPr>
                <w:webHidden/>
              </w:rPr>
            </w:r>
            <w:r>
              <w:rPr>
                <w:webHidden/>
              </w:rPr>
              <w:fldChar w:fldCharType="separate"/>
            </w:r>
            <w:r w:rsidR="00044A1E">
              <w:rPr>
                <w:webHidden/>
              </w:rPr>
              <w:t>6</w:t>
            </w:r>
            <w:r>
              <w:rPr>
                <w:webHidden/>
              </w:rPr>
              <w:fldChar w:fldCharType="end"/>
            </w:r>
          </w:hyperlink>
        </w:p>
        <w:p w14:paraId="02979A7A" w14:textId="4F477C3E" w:rsidR="007B0A85" w:rsidRDefault="007B0A85">
          <w:pPr>
            <w:pStyle w:val="TDC2"/>
            <w:rPr>
              <w:rFonts w:asciiTheme="minorHAnsi" w:hAnsiTheme="minorHAnsi"/>
              <w:noProof/>
              <w:kern w:val="2"/>
              <w:sz w:val="24"/>
              <w:szCs w:val="24"/>
              <w:lang w:eastAsia="es-GT"/>
              <w14:ligatures w14:val="standardContextual"/>
            </w:rPr>
          </w:pPr>
          <w:hyperlink w:anchor="_Toc154158273" w:history="1">
            <w:r w:rsidRPr="00EF72A5">
              <w:rPr>
                <w:rStyle w:val="Hipervnculo"/>
                <w:rFonts w:cs="Times New Roman"/>
                <w:b/>
                <w:noProof/>
              </w:rPr>
              <w:t>3.1</w:t>
            </w:r>
            <w:r>
              <w:rPr>
                <w:rFonts w:asciiTheme="minorHAnsi" w:hAnsiTheme="minorHAnsi"/>
                <w:noProof/>
                <w:kern w:val="2"/>
                <w:sz w:val="24"/>
                <w:szCs w:val="24"/>
                <w:lang w:eastAsia="es-GT"/>
                <w14:ligatures w14:val="standardContextual"/>
              </w:rPr>
              <w:tab/>
            </w:r>
            <w:r w:rsidRPr="00EF72A5">
              <w:rPr>
                <w:rStyle w:val="Hipervnculo"/>
                <w:rFonts w:cs="Times New Roman"/>
                <w:noProof/>
              </w:rPr>
              <w:t>Continúa aumentando la inversión</w:t>
            </w:r>
            <w:r>
              <w:rPr>
                <w:noProof/>
                <w:webHidden/>
              </w:rPr>
              <w:tab/>
            </w:r>
            <w:r>
              <w:rPr>
                <w:noProof/>
                <w:webHidden/>
              </w:rPr>
              <w:fldChar w:fldCharType="begin"/>
            </w:r>
            <w:r>
              <w:rPr>
                <w:noProof/>
                <w:webHidden/>
              </w:rPr>
              <w:instrText xml:space="preserve"> PAGEREF _Toc154158273 \h </w:instrText>
            </w:r>
            <w:r>
              <w:rPr>
                <w:noProof/>
                <w:webHidden/>
              </w:rPr>
            </w:r>
            <w:r>
              <w:rPr>
                <w:noProof/>
                <w:webHidden/>
              </w:rPr>
              <w:fldChar w:fldCharType="separate"/>
            </w:r>
            <w:r w:rsidR="00044A1E">
              <w:rPr>
                <w:noProof/>
                <w:webHidden/>
              </w:rPr>
              <w:t>6</w:t>
            </w:r>
            <w:r>
              <w:rPr>
                <w:noProof/>
                <w:webHidden/>
              </w:rPr>
              <w:fldChar w:fldCharType="end"/>
            </w:r>
          </w:hyperlink>
        </w:p>
        <w:p w14:paraId="0D0DE987" w14:textId="437B04DB"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74" w:history="1">
            <w:r w:rsidRPr="00EF72A5">
              <w:rPr>
                <w:rStyle w:val="Hipervnculo"/>
              </w:rPr>
              <w:t>4</w:t>
            </w:r>
            <w:r>
              <w:rPr>
                <w:rFonts w:asciiTheme="minorHAnsi" w:eastAsiaTheme="minorEastAsia" w:hAnsiTheme="minorHAnsi" w:cstheme="minorBidi"/>
                <w:b w:val="0"/>
                <w:bCs w:val="0"/>
                <w:kern w:val="2"/>
                <w:sz w:val="24"/>
                <w:szCs w:val="24"/>
                <w:lang w:eastAsia="es-GT"/>
                <w14:ligatures w14:val="standardContextual"/>
              </w:rPr>
              <w:tab/>
            </w:r>
            <w:r w:rsidRPr="00EF72A5">
              <w:rPr>
                <w:rStyle w:val="Hipervnculo"/>
                <w:lang w:val="es-MX"/>
              </w:rPr>
              <w:t>Financiamiento</w:t>
            </w:r>
            <w:r>
              <w:rPr>
                <w:webHidden/>
              </w:rPr>
              <w:tab/>
            </w:r>
            <w:r>
              <w:rPr>
                <w:webHidden/>
              </w:rPr>
              <w:fldChar w:fldCharType="begin"/>
            </w:r>
            <w:r>
              <w:rPr>
                <w:webHidden/>
              </w:rPr>
              <w:instrText xml:space="preserve"> PAGEREF _Toc154158274 \h </w:instrText>
            </w:r>
            <w:r>
              <w:rPr>
                <w:webHidden/>
              </w:rPr>
            </w:r>
            <w:r>
              <w:rPr>
                <w:webHidden/>
              </w:rPr>
              <w:fldChar w:fldCharType="separate"/>
            </w:r>
            <w:r w:rsidR="00044A1E">
              <w:rPr>
                <w:webHidden/>
              </w:rPr>
              <w:t>7</w:t>
            </w:r>
            <w:r>
              <w:rPr>
                <w:webHidden/>
              </w:rPr>
              <w:fldChar w:fldCharType="end"/>
            </w:r>
          </w:hyperlink>
        </w:p>
        <w:p w14:paraId="69C4A427" w14:textId="0C34D701" w:rsidR="007B0A85" w:rsidRDefault="007B0A85">
          <w:pPr>
            <w:pStyle w:val="TDC2"/>
            <w:rPr>
              <w:rFonts w:asciiTheme="minorHAnsi" w:hAnsiTheme="minorHAnsi"/>
              <w:noProof/>
              <w:kern w:val="2"/>
              <w:sz w:val="24"/>
              <w:szCs w:val="24"/>
              <w:lang w:eastAsia="es-GT"/>
              <w14:ligatures w14:val="standardContextual"/>
            </w:rPr>
          </w:pPr>
          <w:hyperlink w:anchor="_Toc154158275" w:history="1">
            <w:r w:rsidRPr="00EF72A5">
              <w:rPr>
                <w:rStyle w:val="Hipervnculo"/>
                <w:rFonts w:cs="Times New Roman"/>
                <w:b/>
                <w:noProof/>
              </w:rPr>
              <w:t>4.1</w:t>
            </w:r>
            <w:r>
              <w:rPr>
                <w:rFonts w:asciiTheme="minorHAnsi" w:hAnsiTheme="minorHAnsi"/>
                <w:noProof/>
                <w:kern w:val="2"/>
                <w:sz w:val="24"/>
                <w:szCs w:val="24"/>
                <w:lang w:eastAsia="es-GT"/>
                <w14:ligatures w14:val="standardContextual"/>
              </w:rPr>
              <w:tab/>
            </w:r>
            <w:r w:rsidRPr="00EF72A5">
              <w:rPr>
                <w:rStyle w:val="Hipervnculo"/>
                <w:rFonts w:cs="Times New Roman"/>
                <w:noProof/>
              </w:rPr>
              <w:t>Los activos financieros aumentarón</w:t>
            </w:r>
            <w:r>
              <w:rPr>
                <w:noProof/>
                <w:webHidden/>
              </w:rPr>
              <w:tab/>
            </w:r>
            <w:r>
              <w:rPr>
                <w:noProof/>
                <w:webHidden/>
              </w:rPr>
              <w:fldChar w:fldCharType="begin"/>
            </w:r>
            <w:r>
              <w:rPr>
                <w:noProof/>
                <w:webHidden/>
              </w:rPr>
              <w:instrText xml:space="preserve"> PAGEREF _Toc154158275 \h </w:instrText>
            </w:r>
            <w:r>
              <w:rPr>
                <w:noProof/>
                <w:webHidden/>
              </w:rPr>
            </w:r>
            <w:r>
              <w:rPr>
                <w:noProof/>
                <w:webHidden/>
              </w:rPr>
              <w:fldChar w:fldCharType="separate"/>
            </w:r>
            <w:r w:rsidR="00044A1E">
              <w:rPr>
                <w:noProof/>
                <w:webHidden/>
              </w:rPr>
              <w:t>7</w:t>
            </w:r>
            <w:r>
              <w:rPr>
                <w:noProof/>
                <w:webHidden/>
              </w:rPr>
              <w:fldChar w:fldCharType="end"/>
            </w:r>
          </w:hyperlink>
        </w:p>
        <w:p w14:paraId="37DA6146" w14:textId="5A95D323" w:rsidR="007B0A85" w:rsidRDefault="007B0A85">
          <w:pPr>
            <w:pStyle w:val="TDC2"/>
            <w:rPr>
              <w:rFonts w:asciiTheme="minorHAnsi" w:hAnsiTheme="minorHAnsi"/>
              <w:noProof/>
              <w:kern w:val="2"/>
              <w:sz w:val="24"/>
              <w:szCs w:val="24"/>
              <w:lang w:eastAsia="es-GT"/>
              <w14:ligatures w14:val="standardContextual"/>
            </w:rPr>
          </w:pPr>
          <w:hyperlink w:anchor="_Toc154158276" w:history="1">
            <w:r w:rsidRPr="00EF72A5">
              <w:rPr>
                <w:rStyle w:val="Hipervnculo"/>
                <w:rFonts w:cs="Times New Roman"/>
                <w:b/>
                <w:noProof/>
              </w:rPr>
              <w:t>4.2</w:t>
            </w:r>
            <w:r>
              <w:rPr>
                <w:rFonts w:asciiTheme="minorHAnsi" w:hAnsiTheme="minorHAnsi"/>
                <w:noProof/>
                <w:kern w:val="2"/>
                <w:sz w:val="24"/>
                <w:szCs w:val="24"/>
                <w:lang w:eastAsia="es-GT"/>
                <w14:ligatures w14:val="standardContextual"/>
              </w:rPr>
              <w:tab/>
            </w:r>
            <w:r w:rsidRPr="00EF72A5">
              <w:rPr>
                <w:rStyle w:val="Hipervnculo"/>
                <w:rFonts w:cs="Times New Roman"/>
                <w:noProof/>
              </w:rPr>
              <w:t>Incremento de pasivos</w:t>
            </w:r>
            <w:r>
              <w:rPr>
                <w:noProof/>
                <w:webHidden/>
              </w:rPr>
              <w:tab/>
            </w:r>
            <w:r>
              <w:rPr>
                <w:noProof/>
                <w:webHidden/>
              </w:rPr>
              <w:fldChar w:fldCharType="begin"/>
            </w:r>
            <w:r>
              <w:rPr>
                <w:noProof/>
                <w:webHidden/>
              </w:rPr>
              <w:instrText xml:space="preserve"> PAGEREF _Toc154158276 \h </w:instrText>
            </w:r>
            <w:r>
              <w:rPr>
                <w:noProof/>
                <w:webHidden/>
              </w:rPr>
            </w:r>
            <w:r>
              <w:rPr>
                <w:noProof/>
                <w:webHidden/>
              </w:rPr>
              <w:fldChar w:fldCharType="separate"/>
            </w:r>
            <w:r w:rsidR="00044A1E">
              <w:rPr>
                <w:noProof/>
                <w:webHidden/>
              </w:rPr>
              <w:t>7</w:t>
            </w:r>
            <w:r>
              <w:rPr>
                <w:noProof/>
                <w:webHidden/>
              </w:rPr>
              <w:fldChar w:fldCharType="end"/>
            </w:r>
          </w:hyperlink>
        </w:p>
        <w:p w14:paraId="4FD28150" w14:textId="48DF8592"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77" w:history="1">
            <w:r w:rsidRPr="00EF72A5">
              <w:rPr>
                <w:rStyle w:val="Hipervnculo"/>
                <w:lang w:eastAsia="es-ES"/>
              </w:rPr>
              <w:t>5</w:t>
            </w:r>
            <w:r>
              <w:rPr>
                <w:rFonts w:asciiTheme="minorHAnsi" w:eastAsiaTheme="minorEastAsia" w:hAnsiTheme="minorHAnsi" w:cstheme="minorBidi"/>
                <w:b w:val="0"/>
                <w:bCs w:val="0"/>
                <w:kern w:val="2"/>
                <w:sz w:val="24"/>
                <w:szCs w:val="24"/>
                <w:lang w:eastAsia="es-GT"/>
                <w14:ligatures w14:val="standardContextual"/>
              </w:rPr>
              <w:tab/>
            </w:r>
            <w:r w:rsidRPr="00EF72A5">
              <w:rPr>
                <w:rStyle w:val="Hipervnculo"/>
                <w:lang w:val="es-MX"/>
              </w:rPr>
              <w:t>Erogaciones</w:t>
            </w:r>
            <w:r w:rsidRPr="00EF72A5">
              <w:rPr>
                <w:rStyle w:val="Hipervnculo"/>
                <w:lang w:val="es-ES_tradnl" w:eastAsia="es-ES"/>
              </w:rPr>
              <w:t xml:space="preserve"> por funciones de gobierno</w:t>
            </w:r>
            <w:r>
              <w:rPr>
                <w:webHidden/>
              </w:rPr>
              <w:tab/>
            </w:r>
            <w:r>
              <w:rPr>
                <w:webHidden/>
              </w:rPr>
              <w:fldChar w:fldCharType="begin"/>
            </w:r>
            <w:r>
              <w:rPr>
                <w:webHidden/>
              </w:rPr>
              <w:instrText xml:space="preserve"> PAGEREF _Toc154158277 \h </w:instrText>
            </w:r>
            <w:r>
              <w:rPr>
                <w:webHidden/>
              </w:rPr>
            </w:r>
            <w:r>
              <w:rPr>
                <w:webHidden/>
              </w:rPr>
              <w:fldChar w:fldCharType="separate"/>
            </w:r>
            <w:r w:rsidR="00044A1E">
              <w:rPr>
                <w:webHidden/>
              </w:rPr>
              <w:t>8</w:t>
            </w:r>
            <w:r>
              <w:rPr>
                <w:webHidden/>
              </w:rPr>
              <w:fldChar w:fldCharType="end"/>
            </w:r>
          </w:hyperlink>
        </w:p>
        <w:p w14:paraId="59B7AD75" w14:textId="14805AC7" w:rsidR="007B0A85" w:rsidRDefault="007B0A85">
          <w:pPr>
            <w:pStyle w:val="TDC2"/>
            <w:rPr>
              <w:rFonts w:asciiTheme="minorHAnsi" w:hAnsiTheme="minorHAnsi"/>
              <w:noProof/>
              <w:kern w:val="2"/>
              <w:sz w:val="24"/>
              <w:szCs w:val="24"/>
              <w:lang w:eastAsia="es-GT"/>
              <w14:ligatures w14:val="standardContextual"/>
            </w:rPr>
          </w:pPr>
          <w:hyperlink w:anchor="_Toc154158282" w:history="1">
            <w:r w:rsidRPr="00EF72A5">
              <w:rPr>
                <w:rStyle w:val="Hipervnculo"/>
                <w:rFonts w:cs="Times New Roman"/>
                <w:b/>
                <w:noProof/>
              </w:rPr>
              <w:t>5.1</w:t>
            </w:r>
            <w:r>
              <w:rPr>
                <w:rFonts w:asciiTheme="minorHAnsi" w:hAnsiTheme="minorHAnsi"/>
                <w:noProof/>
                <w:kern w:val="2"/>
                <w:sz w:val="24"/>
                <w:szCs w:val="24"/>
                <w:lang w:eastAsia="es-GT"/>
                <w14:ligatures w14:val="standardContextual"/>
              </w:rPr>
              <w:tab/>
            </w:r>
            <w:r w:rsidRPr="00EF72A5">
              <w:rPr>
                <w:rStyle w:val="Hipervnculo"/>
                <w:rFonts w:cs="Times New Roman"/>
                <w:noProof/>
              </w:rPr>
              <w:t>Las erogaciones con mayor crecimiento son las dirigidas a los servicios públicos generales</w:t>
            </w:r>
            <w:r>
              <w:rPr>
                <w:noProof/>
                <w:webHidden/>
              </w:rPr>
              <w:tab/>
            </w:r>
            <w:r>
              <w:rPr>
                <w:noProof/>
                <w:webHidden/>
              </w:rPr>
              <w:fldChar w:fldCharType="begin"/>
            </w:r>
            <w:r>
              <w:rPr>
                <w:noProof/>
                <w:webHidden/>
              </w:rPr>
              <w:instrText xml:space="preserve"> PAGEREF _Toc154158282 \h </w:instrText>
            </w:r>
            <w:r>
              <w:rPr>
                <w:noProof/>
                <w:webHidden/>
              </w:rPr>
            </w:r>
            <w:r>
              <w:rPr>
                <w:noProof/>
                <w:webHidden/>
              </w:rPr>
              <w:fldChar w:fldCharType="separate"/>
            </w:r>
            <w:r w:rsidR="00044A1E">
              <w:rPr>
                <w:noProof/>
                <w:webHidden/>
              </w:rPr>
              <w:t>8</w:t>
            </w:r>
            <w:r>
              <w:rPr>
                <w:noProof/>
                <w:webHidden/>
              </w:rPr>
              <w:fldChar w:fldCharType="end"/>
            </w:r>
          </w:hyperlink>
        </w:p>
        <w:p w14:paraId="768641B5" w14:textId="4BF7C234" w:rsidR="007B0A85" w:rsidRDefault="007B0A85">
          <w:pPr>
            <w:pStyle w:val="TDC1"/>
            <w:rPr>
              <w:rFonts w:asciiTheme="minorHAnsi" w:eastAsiaTheme="minorEastAsia" w:hAnsiTheme="minorHAnsi" w:cstheme="minorBidi"/>
              <w:b w:val="0"/>
              <w:bCs w:val="0"/>
              <w:kern w:val="2"/>
              <w:sz w:val="24"/>
              <w:szCs w:val="24"/>
              <w:lang w:eastAsia="es-GT"/>
              <w14:ligatures w14:val="standardContextual"/>
            </w:rPr>
          </w:pPr>
          <w:hyperlink w:anchor="_Toc154158283" w:history="1">
            <w:r w:rsidRPr="00EF72A5">
              <w:rPr>
                <w:rStyle w:val="Hipervnculo"/>
                <w:lang w:eastAsia="es-ES"/>
              </w:rPr>
              <w:t>6</w:t>
            </w:r>
            <w:r>
              <w:rPr>
                <w:rFonts w:asciiTheme="minorHAnsi" w:eastAsiaTheme="minorEastAsia" w:hAnsiTheme="minorHAnsi" w:cstheme="minorBidi"/>
                <w:b w:val="0"/>
                <w:bCs w:val="0"/>
                <w:kern w:val="2"/>
                <w:sz w:val="24"/>
                <w:szCs w:val="24"/>
                <w:lang w:eastAsia="es-GT"/>
                <w14:ligatures w14:val="standardContextual"/>
              </w:rPr>
              <w:tab/>
            </w:r>
            <w:r w:rsidRPr="00EF72A5">
              <w:rPr>
                <w:rStyle w:val="Hipervnculo"/>
                <w:lang w:val="es-MX"/>
              </w:rPr>
              <w:t>Resultados</w:t>
            </w:r>
            <w:r w:rsidRPr="00EF72A5">
              <w:rPr>
                <w:rStyle w:val="Hipervnculo"/>
                <w:lang w:val="es-ES_tradnl" w:eastAsia="es-ES"/>
              </w:rPr>
              <w:t xml:space="preserve"> Fiscales</w:t>
            </w:r>
            <w:r>
              <w:rPr>
                <w:webHidden/>
              </w:rPr>
              <w:tab/>
            </w:r>
            <w:r>
              <w:rPr>
                <w:webHidden/>
              </w:rPr>
              <w:fldChar w:fldCharType="begin"/>
            </w:r>
            <w:r>
              <w:rPr>
                <w:webHidden/>
              </w:rPr>
              <w:instrText xml:space="preserve"> PAGEREF _Toc154158283 \h </w:instrText>
            </w:r>
            <w:r>
              <w:rPr>
                <w:webHidden/>
              </w:rPr>
            </w:r>
            <w:r>
              <w:rPr>
                <w:webHidden/>
              </w:rPr>
              <w:fldChar w:fldCharType="separate"/>
            </w:r>
            <w:r w:rsidR="00044A1E">
              <w:rPr>
                <w:webHidden/>
              </w:rPr>
              <w:t>9</w:t>
            </w:r>
            <w:r>
              <w:rPr>
                <w:webHidden/>
              </w:rPr>
              <w:fldChar w:fldCharType="end"/>
            </w:r>
          </w:hyperlink>
        </w:p>
        <w:p w14:paraId="1793C5A7" w14:textId="4DD91397" w:rsidR="007B0A85" w:rsidRDefault="007B0A85">
          <w:pPr>
            <w:pStyle w:val="TDC2"/>
            <w:rPr>
              <w:rFonts w:asciiTheme="minorHAnsi" w:hAnsiTheme="minorHAnsi"/>
              <w:noProof/>
              <w:kern w:val="2"/>
              <w:sz w:val="24"/>
              <w:szCs w:val="24"/>
              <w:lang w:eastAsia="es-GT"/>
              <w14:ligatures w14:val="standardContextual"/>
            </w:rPr>
          </w:pPr>
          <w:hyperlink w:anchor="_Toc154158284" w:history="1">
            <w:r w:rsidRPr="00EF72A5">
              <w:rPr>
                <w:rStyle w:val="Hipervnculo"/>
                <w:rFonts w:cs="Times New Roman"/>
                <w:b/>
                <w:noProof/>
              </w:rPr>
              <w:t>6.1</w:t>
            </w:r>
            <w:r>
              <w:rPr>
                <w:rFonts w:asciiTheme="minorHAnsi" w:hAnsiTheme="minorHAnsi"/>
                <w:noProof/>
                <w:kern w:val="2"/>
                <w:sz w:val="24"/>
                <w:szCs w:val="24"/>
                <w:lang w:eastAsia="es-GT"/>
                <w14:ligatures w14:val="standardContextual"/>
              </w:rPr>
              <w:tab/>
            </w:r>
            <w:r w:rsidRPr="00EF72A5">
              <w:rPr>
                <w:rStyle w:val="Hipervnculo"/>
                <w:rFonts w:cs="Times New Roman"/>
                <w:noProof/>
              </w:rPr>
              <w:t>Resultado Operativo</w:t>
            </w:r>
            <w:r>
              <w:rPr>
                <w:noProof/>
                <w:webHidden/>
              </w:rPr>
              <w:tab/>
            </w:r>
            <w:r>
              <w:rPr>
                <w:noProof/>
                <w:webHidden/>
              </w:rPr>
              <w:fldChar w:fldCharType="begin"/>
            </w:r>
            <w:r>
              <w:rPr>
                <w:noProof/>
                <w:webHidden/>
              </w:rPr>
              <w:instrText xml:space="preserve"> PAGEREF _Toc154158284 \h </w:instrText>
            </w:r>
            <w:r>
              <w:rPr>
                <w:noProof/>
                <w:webHidden/>
              </w:rPr>
            </w:r>
            <w:r>
              <w:rPr>
                <w:noProof/>
                <w:webHidden/>
              </w:rPr>
              <w:fldChar w:fldCharType="separate"/>
            </w:r>
            <w:r w:rsidR="00044A1E">
              <w:rPr>
                <w:noProof/>
                <w:webHidden/>
              </w:rPr>
              <w:t>9</w:t>
            </w:r>
            <w:r>
              <w:rPr>
                <w:noProof/>
                <w:webHidden/>
              </w:rPr>
              <w:fldChar w:fldCharType="end"/>
            </w:r>
          </w:hyperlink>
        </w:p>
        <w:p w14:paraId="1B1245C0" w14:textId="4C0DAAC8" w:rsidR="007B0A85" w:rsidRDefault="007B0A85">
          <w:pPr>
            <w:pStyle w:val="TDC2"/>
            <w:rPr>
              <w:rFonts w:asciiTheme="minorHAnsi" w:hAnsiTheme="minorHAnsi"/>
              <w:noProof/>
              <w:kern w:val="2"/>
              <w:sz w:val="24"/>
              <w:szCs w:val="24"/>
              <w:lang w:eastAsia="es-GT"/>
              <w14:ligatures w14:val="standardContextual"/>
            </w:rPr>
          </w:pPr>
          <w:hyperlink w:anchor="_Toc154158285" w:history="1">
            <w:r w:rsidRPr="00EF72A5">
              <w:rPr>
                <w:rStyle w:val="Hipervnculo"/>
                <w:rFonts w:cs="Times New Roman"/>
                <w:b/>
                <w:noProof/>
              </w:rPr>
              <w:t>6.2</w:t>
            </w:r>
            <w:r>
              <w:rPr>
                <w:rFonts w:asciiTheme="minorHAnsi" w:hAnsiTheme="minorHAnsi"/>
                <w:noProof/>
                <w:kern w:val="2"/>
                <w:sz w:val="24"/>
                <w:szCs w:val="24"/>
                <w:lang w:eastAsia="es-GT"/>
                <w14:ligatures w14:val="standardContextual"/>
              </w:rPr>
              <w:tab/>
            </w:r>
            <w:r w:rsidRPr="00EF72A5">
              <w:rPr>
                <w:rStyle w:val="Hipervnculo"/>
                <w:rFonts w:cs="Times New Roman"/>
                <w:noProof/>
              </w:rPr>
              <w:t>Endeudamiento Neto</w:t>
            </w:r>
            <w:r>
              <w:rPr>
                <w:noProof/>
                <w:webHidden/>
              </w:rPr>
              <w:tab/>
            </w:r>
            <w:r>
              <w:rPr>
                <w:noProof/>
                <w:webHidden/>
              </w:rPr>
              <w:fldChar w:fldCharType="begin"/>
            </w:r>
            <w:r>
              <w:rPr>
                <w:noProof/>
                <w:webHidden/>
              </w:rPr>
              <w:instrText xml:space="preserve"> PAGEREF _Toc154158285 \h </w:instrText>
            </w:r>
            <w:r>
              <w:rPr>
                <w:noProof/>
                <w:webHidden/>
              </w:rPr>
            </w:r>
            <w:r>
              <w:rPr>
                <w:noProof/>
                <w:webHidden/>
              </w:rPr>
              <w:fldChar w:fldCharType="separate"/>
            </w:r>
            <w:r w:rsidR="00044A1E">
              <w:rPr>
                <w:noProof/>
                <w:webHidden/>
              </w:rPr>
              <w:t>9</w:t>
            </w:r>
            <w:r>
              <w:rPr>
                <w:noProof/>
                <w:webHidden/>
              </w:rPr>
              <w:fldChar w:fldCharType="end"/>
            </w:r>
          </w:hyperlink>
        </w:p>
        <w:p w14:paraId="5BE2AAB0" w14:textId="270AA56D" w:rsidR="0032588B" w:rsidRPr="002E5EB4" w:rsidRDefault="0032588B" w:rsidP="00CD34D6">
          <w:pPr>
            <w:spacing w:line="276" w:lineRule="auto"/>
            <w:rPr>
              <w:rFonts w:cs="Times New Roman"/>
              <w:color w:val="FF0000"/>
            </w:rPr>
          </w:pPr>
          <w:r w:rsidRPr="002E5EB4">
            <w:rPr>
              <w:rFonts w:cs="Times New Roman"/>
              <w:bCs/>
              <w:color w:val="FF0000"/>
              <w:lang w:val="es-ES"/>
            </w:rPr>
            <w:fldChar w:fldCharType="end"/>
          </w:r>
        </w:p>
      </w:sdtContent>
    </w:sdt>
    <w:p w14:paraId="21BB0213" w14:textId="77777777" w:rsidR="006B58E6" w:rsidRPr="002E5EB4" w:rsidRDefault="006B58E6" w:rsidP="006B58E6">
      <w:pPr>
        <w:tabs>
          <w:tab w:val="left" w:pos="5490"/>
        </w:tabs>
        <w:spacing w:after="200" w:line="276" w:lineRule="auto"/>
        <w:rPr>
          <w:rFonts w:eastAsiaTheme="majorEastAsia" w:cs="Times New Roman"/>
          <w:b/>
          <w:bCs/>
          <w:szCs w:val="26"/>
        </w:rPr>
      </w:pPr>
      <w:bookmarkStart w:id="3" w:name="_Toc33180541"/>
      <w:r w:rsidRPr="002E5EB4">
        <w:rPr>
          <w:rFonts w:eastAsiaTheme="majorEastAsia" w:cs="Times New Roman"/>
          <w:b/>
          <w:bCs/>
          <w:szCs w:val="26"/>
        </w:rPr>
        <w:tab/>
      </w:r>
    </w:p>
    <w:p w14:paraId="1E4B481B" w14:textId="5CF023FB" w:rsidR="0041288C" w:rsidRPr="002E5EB4" w:rsidRDefault="0041288C" w:rsidP="006B58E6">
      <w:pPr>
        <w:tabs>
          <w:tab w:val="left" w:pos="5490"/>
        </w:tabs>
        <w:spacing w:after="200" w:line="276" w:lineRule="auto"/>
        <w:rPr>
          <w:rFonts w:eastAsiaTheme="majorEastAsia" w:cs="Times New Roman"/>
          <w:b/>
          <w:bCs/>
          <w:szCs w:val="26"/>
        </w:rPr>
      </w:pPr>
      <w:r w:rsidRPr="002E5EB4">
        <w:rPr>
          <w:rFonts w:eastAsiaTheme="majorEastAsia" w:cs="Times New Roman"/>
          <w:szCs w:val="26"/>
        </w:rPr>
        <w:br w:type="page"/>
      </w:r>
    </w:p>
    <w:p w14:paraId="4919E5EF" w14:textId="77777777" w:rsidR="0041288C" w:rsidRPr="002E5EB4" w:rsidRDefault="0041288C" w:rsidP="00707EF0">
      <w:pPr>
        <w:pStyle w:val="Ttulo1"/>
        <w:rPr>
          <w:lang w:val="es-ES_tradnl" w:eastAsia="es-ES"/>
        </w:rPr>
      </w:pPr>
      <w:bookmarkStart w:id="4" w:name="_Toc154158258"/>
      <w:r w:rsidRPr="002E5EB4">
        <w:rPr>
          <w:lang w:val="es-ES_tradnl" w:eastAsia="es-ES"/>
        </w:rPr>
        <w:lastRenderedPageBreak/>
        <w:t>Introducción</w:t>
      </w:r>
      <w:bookmarkEnd w:id="3"/>
      <w:bookmarkEnd w:id="4"/>
    </w:p>
    <w:p w14:paraId="166F9829" w14:textId="1E6096E6" w:rsidR="00974B8B" w:rsidRPr="002E5EB4" w:rsidRDefault="0041288C" w:rsidP="00B67B8F">
      <w:pPr>
        <w:rPr>
          <w:lang w:val="es-MX"/>
        </w:rPr>
      </w:pPr>
      <w:r w:rsidRPr="002E5EB4">
        <w:rPr>
          <w:lang w:val="es-MX"/>
        </w:rPr>
        <w:t xml:space="preserve">A </w:t>
      </w:r>
      <w:r w:rsidR="00A36EE6" w:rsidRPr="002E5EB4">
        <w:rPr>
          <w:lang w:val="es-MX"/>
        </w:rPr>
        <w:t>continuación,</w:t>
      </w:r>
      <w:r w:rsidR="00752201" w:rsidRPr="002E5EB4">
        <w:rPr>
          <w:lang w:val="es-MX"/>
        </w:rPr>
        <w:t xml:space="preserve"> </w:t>
      </w:r>
      <w:r w:rsidRPr="002E5EB4">
        <w:rPr>
          <w:lang w:val="es-MX"/>
        </w:rPr>
        <w:t xml:space="preserve">se presenta </w:t>
      </w:r>
      <w:r w:rsidRPr="002E5EB4">
        <w:rPr>
          <w:b/>
          <w:bCs/>
          <w:lang w:val="es-MX"/>
        </w:rPr>
        <w:t>el Informe</w:t>
      </w:r>
      <w:r w:rsidR="008864EA" w:rsidRPr="002E5EB4">
        <w:rPr>
          <w:b/>
          <w:bCs/>
          <w:lang w:val="es-MX"/>
        </w:rPr>
        <w:t xml:space="preserve"> </w:t>
      </w:r>
      <w:r w:rsidR="00A9136E" w:rsidRPr="002E5EB4">
        <w:rPr>
          <w:b/>
          <w:bCs/>
          <w:lang w:val="es-MX"/>
        </w:rPr>
        <w:t>al</w:t>
      </w:r>
      <w:r w:rsidR="008864EA" w:rsidRPr="002E5EB4">
        <w:rPr>
          <w:b/>
          <w:bCs/>
          <w:lang w:val="es-MX"/>
        </w:rPr>
        <w:t xml:space="preserve"> </w:t>
      </w:r>
      <w:r w:rsidR="00C62BBD" w:rsidRPr="002E5EB4">
        <w:rPr>
          <w:b/>
          <w:bCs/>
          <w:lang w:val="es-MX"/>
        </w:rPr>
        <w:t>tercer</w:t>
      </w:r>
      <w:r w:rsidR="00445193" w:rsidRPr="002E5EB4">
        <w:rPr>
          <w:b/>
          <w:bCs/>
          <w:lang w:val="es-MX"/>
        </w:rPr>
        <w:t xml:space="preserve"> </w:t>
      </w:r>
      <w:r w:rsidR="008864EA" w:rsidRPr="002E5EB4">
        <w:rPr>
          <w:b/>
          <w:bCs/>
          <w:lang w:val="es-MX"/>
        </w:rPr>
        <w:t>trimestr</w:t>
      </w:r>
      <w:r w:rsidR="004B010A" w:rsidRPr="002E5EB4">
        <w:rPr>
          <w:b/>
          <w:bCs/>
          <w:lang w:val="es-MX"/>
        </w:rPr>
        <w:t>e</w:t>
      </w:r>
      <w:r w:rsidR="002E2298" w:rsidRPr="002E5EB4">
        <w:rPr>
          <w:b/>
          <w:bCs/>
          <w:lang w:val="es-MX"/>
        </w:rPr>
        <w:t xml:space="preserve"> de 202</w:t>
      </w:r>
      <w:r w:rsidR="008864EA" w:rsidRPr="002E5EB4">
        <w:rPr>
          <w:b/>
          <w:bCs/>
          <w:lang w:val="es-MX"/>
        </w:rPr>
        <w:t>3</w:t>
      </w:r>
      <w:r w:rsidR="002E2298" w:rsidRPr="002E5EB4">
        <w:rPr>
          <w:lang w:val="es-MX"/>
        </w:rPr>
        <w:t xml:space="preserve"> </w:t>
      </w:r>
      <w:r w:rsidRPr="002E5EB4">
        <w:rPr>
          <w:lang w:val="es-MX"/>
        </w:rPr>
        <w:t>sobre l</w:t>
      </w:r>
      <w:r w:rsidR="00D63046" w:rsidRPr="002E5EB4">
        <w:rPr>
          <w:lang w:val="es-MX"/>
        </w:rPr>
        <w:t xml:space="preserve">a ejecución financiera del </w:t>
      </w:r>
      <w:r w:rsidR="00AB392D" w:rsidRPr="002E5EB4">
        <w:rPr>
          <w:lang w:val="es-MX"/>
        </w:rPr>
        <w:t>gobierno general</w:t>
      </w:r>
      <w:r w:rsidR="00D63046" w:rsidRPr="002E5EB4">
        <w:rPr>
          <w:lang w:val="es-MX"/>
        </w:rPr>
        <w:t xml:space="preserve"> sobre la base de las</w:t>
      </w:r>
      <w:r w:rsidRPr="002E5EB4">
        <w:rPr>
          <w:lang w:val="es-MX"/>
        </w:rPr>
        <w:t xml:space="preserve"> Estadísticas de las Finanzas Públicas -EFP- el cual contiene los aspectos más relevantes de la evolución de las variables fiscales</w:t>
      </w:r>
      <w:r w:rsidR="00D63046" w:rsidRPr="002E5EB4">
        <w:rPr>
          <w:lang w:val="es-MX"/>
        </w:rPr>
        <w:t>, así como las</w:t>
      </w:r>
      <w:r w:rsidR="00AA5C09" w:rsidRPr="002E5EB4">
        <w:rPr>
          <w:lang w:val="es-MX"/>
        </w:rPr>
        <w:t xml:space="preserve"> </w:t>
      </w:r>
      <w:r w:rsidRPr="002E5EB4">
        <w:rPr>
          <w:lang w:val="es-MX"/>
        </w:rPr>
        <w:t>principales acciones en materia de ingresos, gasto, transacciones en activos y pasivos</w:t>
      </w:r>
      <w:r w:rsidR="006D705D">
        <w:rPr>
          <w:lang w:val="es-MX"/>
        </w:rPr>
        <w:t>,</w:t>
      </w:r>
      <w:r w:rsidRPr="002E5EB4">
        <w:rPr>
          <w:lang w:val="es-MX"/>
        </w:rPr>
        <w:t xml:space="preserve"> y las erogaciones por función del Gobierno</w:t>
      </w:r>
      <w:r w:rsidR="004E3572" w:rsidRPr="002E5EB4">
        <w:rPr>
          <w:lang w:val="es-MX"/>
        </w:rPr>
        <w:t>.</w:t>
      </w:r>
      <w:r w:rsidR="00B331CD" w:rsidRPr="002E5EB4">
        <w:rPr>
          <w:lang w:val="es-MX"/>
        </w:rPr>
        <w:t xml:space="preserve"> </w:t>
      </w:r>
      <w:r w:rsidR="00EB420D" w:rsidRPr="002E5EB4">
        <w:rPr>
          <w:lang w:val="es-MX"/>
        </w:rPr>
        <w:t xml:space="preserve">Esta información se presenta utilizando </w:t>
      </w:r>
      <w:r w:rsidR="001C3561" w:rsidRPr="002E5EB4">
        <w:rPr>
          <w:lang w:val="es-MX"/>
        </w:rPr>
        <w:t>cifras consolidadas, es decir, se eliminan las operaciones rec</w:t>
      </w:r>
      <w:r w:rsidR="00752201" w:rsidRPr="002E5EB4">
        <w:rPr>
          <w:lang w:val="es-MX"/>
        </w:rPr>
        <w:t>í</w:t>
      </w:r>
      <w:r w:rsidR="001C3561" w:rsidRPr="002E5EB4">
        <w:rPr>
          <w:lang w:val="es-MX"/>
        </w:rPr>
        <w:t xml:space="preserve">procas entre las entidades que conforman al gobierno </w:t>
      </w:r>
      <w:r w:rsidR="00BD0642" w:rsidRPr="002E5EB4">
        <w:rPr>
          <w:lang w:val="es-MX"/>
        </w:rPr>
        <w:t>g</w:t>
      </w:r>
      <w:r w:rsidR="001C3561" w:rsidRPr="002E5EB4">
        <w:rPr>
          <w:lang w:val="es-MX"/>
        </w:rPr>
        <w:t>eneral</w:t>
      </w:r>
      <w:r w:rsidR="00BD0642" w:rsidRPr="002E5EB4">
        <w:rPr>
          <w:lang w:val="es-MX"/>
        </w:rPr>
        <w:t xml:space="preserve"> para presentar los datos como una </w:t>
      </w:r>
      <w:r w:rsidR="00C80B6F" w:rsidRPr="002E5EB4">
        <w:rPr>
          <w:lang w:val="es-MX"/>
        </w:rPr>
        <w:t>sola unidad económica.</w:t>
      </w:r>
    </w:p>
    <w:p w14:paraId="522D2460" w14:textId="36B78D9B" w:rsidR="0041288C" w:rsidRPr="002E5EB4" w:rsidRDefault="004E3572" w:rsidP="00B67B8F">
      <w:pPr>
        <w:rPr>
          <w:lang w:val="es-MX"/>
        </w:rPr>
      </w:pPr>
      <w:r w:rsidRPr="002E5EB4">
        <w:rPr>
          <w:lang w:val="es-MX"/>
        </w:rPr>
        <w:t xml:space="preserve">Cabe mencionar que dicha información utiliza los </w:t>
      </w:r>
      <w:r w:rsidR="005F2296" w:rsidRPr="002E5EB4">
        <w:rPr>
          <w:lang w:val="es-MX"/>
        </w:rPr>
        <w:t>estándares internacionales establecidos en el Manual de Estadísticas de las Finanzas Públicas 2014 -MEFP-</w:t>
      </w:r>
      <w:r w:rsidR="00974B8B" w:rsidRPr="002E5EB4">
        <w:rPr>
          <w:lang w:val="es-MX"/>
        </w:rPr>
        <w:t xml:space="preserve"> del Fondo Monetario </w:t>
      </w:r>
      <w:r w:rsidR="00F35956" w:rsidRPr="002E5EB4">
        <w:rPr>
          <w:lang w:val="es-MX"/>
        </w:rPr>
        <w:t xml:space="preserve">Internacional </w:t>
      </w:r>
      <w:r w:rsidR="0041288C" w:rsidRPr="002E5EB4">
        <w:rPr>
          <w:lang w:val="es-MX"/>
        </w:rPr>
        <w:t>-FMI- por lo que existen diferencias en comparación</w:t>
      </w:r>
      <w:r w:rsidR="00774760" w:rsidRPr="002E5EB4">
        <w:rPr>
          <w:lang w:val="es-MX"/>
        </w:rPr>
        <w:t xml:space="preserve"> a las cifras que son publicadas </w:t>
      </w:r>
      <w:r w:rsidR="0041288C" w:rsidRPr="002E5EB4">
        <w:rPr>
          <w:lang w:val="es-MX"/>
        </w:rPr>
        <w:t>utiliza</w:t>
      </w:r>
      <w:r w:rsidR="00774760" w:rsidRPr="002E5EB4">
        <w:rPr>
          <w:lang w:val="es-MX"/>
        </w:rPr>
        <w:t>ndo</w:t>
      </w:r>
      <w:r w:rsidR="0041288C" w:rsidRPr="002E5EB4">
        <w:rPr>
          <w:lang w:val="es-MX"/>
        </w:rPr>
        <w:t xml:space="preserve"> la metodología nacional.</w:t>
      </w:r>
      <w:r w:rsidR="00F8714D" w:rsidRPr="002E5EB4">
        <w:rPr>
          <w:lang w:val="es-MX"/>
        </w:rPr>
        <w:t xml:space="preserve"> </w:t>
      </w:r>
      <w:r w:rsidR="003D1490" w:rsidRPr="002E5EB4">
        <w:rPr>
          <w:lang w:val="es-MX"/>
        </w:rPr>
        <w:t xml:space="preserve">En caso de cualquier </w:t>
      </w:r>
      <w:r w:rsidR="00FA4254" w:rsidRPr="002E5EB4">
        <w:rPr>
          <w:lang w:val="es-MX"/>
        </w:rPr>
        <w:t>duda</w:t>
      </w:r>
      <w:r w:rsidR="00E507D9" w:rsidRPr="002E5EB4">
        <w:rPr>
          <w:lang w:val="es-MX"/>
        </w:rPr>
        <w:t xml:space="preserve"> sobre estas diferencias</w:t>
      </w:r>
      <w:r w:rsidR="002710C2" w:rsidRPr="002E5EB4">
        <w:rPr>
          <w:lang w:val="es-MX"/>
        </w:rPr>
        <w:t xml:space="preserve">, </w:t>
      </w:r>
      <w:r w:rsidR="00723705" w:rsidRPr="002E5EB4">
        <w:rPr>
          <w:lang w:val="es-MX"/>
        </w:rPr>
        <w:t xml:space="preserve">se </w:t>
      </w:r>
      <w:r w:rsidR="002710C2" w:rsidRPr="002E5EB4">
        <w:rPr>
          <w:lang w:val="es-MX"/>
        </w:rPr>
        <w:t xml:space="preserve">puede consultar los documentos de </w:t>
      </w:r>
      <w:r w:rsidR="00C139AC" w:rsidRPr="002E5EB4">
        <w:rPr>
          <w:lang w:val="es-MX"/>
        </w:rPr>
        <w:t>“</w:t>
      </w:r>
      <w:r w:rsidR="002710C2" w:rsidRPr="002E5EB4">
        <w:rPr>
          <w:lang w:val="es-MX"/>
        </w:rPr>
        <w:t>Metodología</w:t>
      </w:r>
      <w:r w:rsidR="00C139AC" w:rsidRPr="002E5EB4">
        <w:rPr>
          <w:lang w:val="es-MX"/>
        </w:rPr>
        <w:t>”</w:t>
      </w:r>
      <w:r w:rsidR="002710C2" w:rsidRPr="002E5EB4">
        <w:rPr>
          <w:lang w:val="es-MX"/>
        </w:rPr>
        <w:t xml:space="preserve"> y de </w:t>
      </w:r>
      <w:r w:rsidR="00C139AC" w:rsidRPr="002E5EB4">
        <w:rPr>
          <w:lang w:val="es-MX"/>
        </w:rPr>
        <w:t xml:space="preserve">“Metadatos” </w:t>
      </w:r>
      <w:r w:rsidR="00F42DC5" w:rsidRPr="002E5EB4">
        <w:rPr>
          <w:lang w:val="es-MX"/>
        </w:rPr>
        <w:t xml:space="preserve">que se encuentran publicados en </w:t>
      </w:r>
      <w:r w:rsidR="00C923AF" w:rsidRPr="002E5EB4">
        <w:rPr>
          <w:lang w:val="es-MX"/>
        </w:rPr>
        <w:t xml:space="preserve">la </w:t>
      </w:r>
      <w:r w:rsidR="00DB2A3F" w:rsidRPr="002E5EB4">
        <w:rPr>
          <w:lang w:val="es-MX"/>
        </w:rPr>
        <w:t>página</w:t>
      </w:r>
      <w:r w:rsidR="00F42DC5" w:rsidRPr="002E5EB4">
        <w:rPr>
          <w:lang w:val="es-MX"/>
        </w:rPr>
        <w:t xml:space="preserve"> web</w:t>
      </w:r>
      <w:r w:rsidR="00C923AF" w:rsidRPr="002E5EB4">
        <w:rPr>
          <w:lang w:val="es-MX"/>
        </w:rPr>
        <w:t xml:space="preserve"> del Ministerio de Finanzas Públicas</w:t>
      </w:r>
      <w:r w:rsidR="00723705" w:rsidRPr="002E5EB4">
        <w:rPr>
          <w:lang w:val="es-MX"/>
        </w:rPr>
        <w:t>,</w:t>
      </w:r>
      <w:r w:rsidR="00C923AF" w:rsidRPr="002E5EB4">
        <w:rPr>
          <w:lang w:val="es-MX"/>
        </w:rPr>
        <w:t xml:space="preserve"> en la sección de “Estadísticas según Estándares Internacionales”</w:t>
      </w:r>
      <w:r w:rsidR="00F23510" w:rsidRPr="002E5EB4">
        <w:rPr>
          <w:lang w:val="es-MX"/>
        </w:rPr>
        <w:t>.</w:t>
      </w:r>
    </w:p>
    <w:p w14:paraId="23BE9EAC" w14:textId="77777777" w:rsidR="00D726EB" w:rsidRPr="002E5EB4" w:rsidRDefault="00D726EB" w:rsidP="00D726EB">
      <w:pPr>
        <w:pStyle w:val="Prrafodelista"/>
        <w:ind w:left="0"/>
        <w:outlineLvl w:val="0"/>
        <w:rPr>
          <w:rFonts w:eastAsiaTheme="majorEastAsia" w:cs="Times New Roman"/>
          <w:b/>
          <w:bCs/>
          <w:sz w:val="24"/>
          <w:szCs w:val="26"/>
          <w:lang w:val="es-ES_tradnl" w:eastAsia="es-ES"/>
        </w:rPr>
      </w:pPr>
      <w:bookmarkStart w:id="5" w:name="_Toc98757132"/>
      <w:bookmarkStart w:id="6" w:name="_Toc117781272"/>
      <w:bookmarkStart w:id="7" w:name="_Toc152139313"/>
      <w:bookmarkStart w:id="8" w:name="_Toc154158259"/>
      <w:r w:rsidRPr="002E5EB4">
        <w:rPr>
          <w:rFonts w:eastAsiaTheme="majorEastAsia" w:cs="Times New Roman"/>
          <w:b/>
          <w:bCs/>
          <w:sz w:val="24"/>
          <w:szCs w:val="26"/>
          <w:lang w:val="es-ES_tradnl" w:eastAsia="es-ES"/>
        </w:rPr>
        <w:t>Cambios Metodológicos 202</w:t>
      </w:r>
      <w:bookmarkEnd w:id="5"/>
      <w:bookmarkEnd w:id="6"/>
      <w:r w:rsidRPr="002E5EB4">
        <w:rPr>
          <w:rFonts w:eastAsiaTheme="majorEastAsia" w:cs="Times New Roman"/>
          <w:b/>
          <w:bCs/>
          <w:sz w:val="24"/>
          <w:szCs w:val="26"/>
          <w:lang w:val="es-ES_tradnl" w:eastAsia="es-ES"/>
        </w:rPr>
        <w:t>3</w:t>
      </w:r>
      <w:bookmarkEnd w:id="7"/>
      <w:bookmarkEnd w:id="8"/>
    </w:p>
    <w:p w14:paraId="62DA014D" w14:textId="36CA20DB" w:rsidR="00D726EB" w:rsidRPr="002E5EB4" w:rsidRDefault="00D726EB" w:rsidP="00D726EB">
      <w:pPr>
        <w:rPr>
          <w:lang w:val="es-MX"/>
        </w:rPr>
      </w:pPr>
      <w:r w:rsidRPr="002E5EB4">
        <w:rPr>
          <w:lang w:val="es-MX"/>
        </w:rPr>
        <w:t>El Ministerio de Finanzas Públicas continua con el proceso de implementación de los estándares internacionales para la generación de las EFP y con el fin de fortalecer a las mismas, se cuenta con el apoyo y supervisión del Centro Regional de Asistencia Técnica del FMI para Centroamérica, Panamá y la República Dominicana -CAPTAC-DR-. En este sentido, cabe mencionar que en noviembre del presente año se llevaron a cabo actualizaciones metodológicas, por lo que el presente documento cuenta con algunas diferencias en las cifras históricas respecto a los informes trimestrales anteriores. Para más información sobre los cambios realizados, se recomienda revisar el documento de metodología y de metadato que se encuentran disponibles en el apartado de Estadísticas según Estándares Internacionales del portal del Ministerio de Finanzas Públicas.</w:t>
      </w:r>
    </w:p>
    <w:p w14:paraId="37573775" w14:textId="2CCE493C" w:rsidR="00E66A98" w:rsidRPr="002E5EB4" w:rsidRDefault="00A52F77" w:rsidP="00F70E18">
      <w:pPr>
        <w:pStyle w:val="Ttulo1"/>
        <w:numPr>
          <w:ilvl w:val="0"/>
          <w:numId w:val="46"/>
        </w:numPr>
        <w:rPr>
          <w:lang w:val="es-ES_tradnl" w:eastAsia="es-ES"/>
        </w:rPr>
      </w:pPr>
      <w:bookmarkStart w:id="9" w:name="_Toc154158260"/>
      <w:bookmarkEnd w:id="1"/>
      <w:bookmarkEnd w:id="2"/>
      <w:r w:rsidRPr="002E5EB4">
        <w:rPr>
          <w:lang w:val="es-ES_tradnl" w:eastAsia="es-ES"/>
        </w:rPr>
        <w:t>Ingresos</w:t>
      </w:r>
      <w:bookmarkEnd w:id="9"/>
      <w:r w:rsidR="00E66A98" w:rsidRPr="002E5EB4">
        <w:rPr>
          <w:lang w:val="es-ES_tradnl" w:eastAsia="es-ES"/>
        </w:rPr>
        <w:t xml:space="preserve"> </w:t>
      </w:r>
    </w:p>
    <w:p w14:paraId="573AD0D9" w14:textId="35262961" w:rsidR="00E66A98" w:rsidRPr="002E5EB4" w:rsidRDefault="00DD4896" w:rsidP="00EB6D9F">
      <w:pPr>
        <w:pStyle w:val="Ttulo2"/>
        <w:numPr>
          <w:ilvl w:val="1"/>
          <w:numId w:val="11"/>
        </w:numPr>
        <w:tabs>
          <w:tab w:val="left" w:pos="426"/>
        </w:tabs>
        <w:spacing w:before="0"/>
        <w:ind w:left="284" w:hanging="284"/>
        <w:rPr>
          <w:rFonts w:cs="Times New Roman"/>
          <w:sz w:val="22"/>
          <w:szCs w:val="22"/>
        </w:rPr>
      </w:pPr>
      <w:bookmarkStart w:id="10" w:name="_Toc471986924"/>
      <w:bookmarkStart w:id="11" w:name="_Toc471987059"/>
      <w:bookmarkStart w:id="12" w:name="_Toc471987107"/>
      <w:bookmarkStart w:id="13" w:name="_Toc471987129"/>
      <w:bookmarkStart w:id="14" w:name="_Toc472082158"/>
      <w:bookmarkStart w:id="15" w:name="_Toc472082190"/>
      <w:bookmarkStart w:id="16" w:name="_Toc472089905"/>
      <w:bookmarkStart w:id="17" w:name="_Toc472089928"/>
      <w:bookmarkStart w:id="18" w:name="_Toc505346056"/>
      <w:bookmarkStart w:id="19" w:name="_Toc505349869"/>
      <w:bookmarkStart w:id="20" w:name="_Toc534985827"/>
      <w:bookmarkStart w:id="21" w:name="_Toc534988220"/>
      <w:bookmarkStart w:id="22" w:name="_Toc31611540"/>
      <w:bookmarkStart w:id="23" w:name="_Toc31612756"/>
      <w:bookmarkStart w:id="24" w:name="_Toc31612788"/>
      <w:bookmarkStart w:id="25" w:name="_Toc31614814"/>
      <w:bookmarkStart w:id="26" w:name="_Toc31614846"/>
      <w:bookmarkStart w:id="27" w:name="_Toc31618683"/>
      <w:bookmarkStart w:id="28" w:name="_Toc31618716"/>
      <w:bookmarkStart w:id="29" w:name="_Toc31624492"/>
      <w:bookmarkStart w:id="30" w:name="_Toc31625344"/>
      <w:bookmarkStart w:id="31" w:name="_Toc31626799"/>
      <w:bookmarkStart w:id="32" w:name="_Toc31811250"/>
      <w:bookmarkStart w:id="33" w:name="_Toc31811695"/>
      <w:bookmarkStart w:id="34" w:name="_Toc31971858"/>
      <w:bookmarkStart w:id="35" w:name="_Toc32230880"/>
      <w:bookmarkStart w:id="36" w:name="_Toc33109779"/>
      <w:bookmarkStart w:id="37" w:name="_Toc33109822"/>
      <w:bookmarkStart w:id="38" w:name="_Toc33180543"/>
      <w:bookmarkStart w:id="39" w:name="_Toc33180637"/>
      <w:bookmarkStart w:id="40" w:name="_Toc33193534"/>
      <w:bookmarkStart w:id="41" w:name="_Toc33193573"/>
      <w:bookmarkStart w:id="42" w:name="_Toc33196770"/>
      <w:bookmarkStart w:id="43" w:name="_Toc40691746"/>
      <w:bookmarkStart w:id="44" w:name="_Toc40959149"/>
      <w:bookmarkStart w:id="45" w:name="_Toc40975983"/>
      <w:bookmarkStart w:id="46" w:name="_Toc40976052"/>
      <w:bookmarkStart w:id="47" w:name="_Toc40993307"/>
      <w:bookmarkStart w:id="48" w:name="_Toc40993689"/>
      <w:bookmarkStart w:id="49" w:name="_Toc41037565"/>
      <w:bookmarkStart w:id="50" w:name="_Toc15415826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E5EB4">
        <w:rPr>
          <w:rFonts w:cs="Times New Roman"/>
          <w:sz w:val="22"/>
          <w:szCs w:val="22"/>
        </w:rPr>
        <w:t xml:space="preserve">Los ingresos continúan </w:t>
      </w:r>
      <w:r w:rsidR="00D17D1C" w:rsidRPr="002E5EB4">
        <w:rPr>
          <w:rFonts w:cs="Times New Roman"/>
          <w:sz w:val="22"/>
          <w:szCs w:val="22"/>
        </w:rPr>
        <w:t>desaceler</w:t>
      </w:r>
      <w:r w:rsidR="00CE1BBD" w:rsidRPr="002E5EB4">
        <w:rPr>
          <w:rFonts w:cs="Times New Roman"/>
          <w:sz w:val="22"/>
          <w:szCs w:val="22"/>
        </w:rPr>
        <w:t>á</w:t>
      </w:r>
      <w:r w:rsidR="00D17D1C" w:rsidRPr="002E5EB4">
        <w:rPr>
          <w:rFonts w:cs="Times New Roman"/>
          <w:sz w:val="22"/>
          <w:szCs w:val="22"/>
        </w:rPr>
        <w:t>nd</w:t>
      </w:r>
      <w:r w:rsidR="00C2698F" w:rsidRPr="002E5EB4">
        <w:rPr>
          <w:rFonts w:cs="Times New Roman"/>
          <w:sz w:val="22"/>
          <w:szCs w:val="22"/>
        </w:rPr>
        <w:t>ose</w:t>
      </w:r>
      <w:bookmarkEnd w:id="50"/>
    </w:p>
    <w:p w14:paraId="04EA88B5" w14:textId="5CCB60DB" w:rsidR="002B5E54" w:rsidRPr="002E5EB4" w:rsidRDefault="00467893" w:rsidP="002B5E54">
      <w:r w:rsidRPr="002E5EB4">
        <w:rPr>
          <w:rFonts w:eastAsiaTheme="majorEastAsia"/>
          <w:noProof/>
          <w:lang w:eastAsia="es-GT"/>
        </w:rPr>
        <w:drawing>
          <wp:anchor distT="0" distB="0" distL="114300" distR="114300" simplePos="0" relativeHeight="251658244" behindDoc="0" locked="0" layoutInCell="1" allowOverlap="1" wp14:anchorId="2394B235" wp14:editId="069400AE">
            <wp:simplePos x="0" y="0"/>
            <wp:positionH relativeFrom="margin">
              <wp:posOffset>3070860</wp:posOffset>
            </wp:positionH>
            <wp:positionV relativeFrom="paragraph">
              <wp:posOffset>125730</wp:posOffset>
            </wp:positionV>
            <wp:extent cx="2924810" cy="741045"/>
            <wp:effectExtent l="57150" t="38100" r="123190" b="97155"/>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FB66B1" w:rsidRPr="002E5EB4">
        <w:t xml:space="preserve">Al finalizar el tercer trimestre del año, los </w:t>
      </w:r>
      <w:r w:rsidR="002B5E54" w:rsidRPr="002E5EB4">
        <w:t>ingresos</w:t>
      </w:r>
      <w:r w:rsidR="00242F15" w:rsidRPr="002E5EB4">
        <w:t xml:space="preserve"> del </w:t>
      </w:r>
      <w:r w:rsidR="002B5E54" w:rsidRPr="002E5EB4">
        <w:t>gobierno general asc</w:t>
      </w:r>
      <w:r w:rsidR="00AA0564" w:rsidRPr="002E5EB4">
        <w:t xml:space="preserve">ienden </w:t>
      </w:r>
      <w:r w:rsidR="00265226" w:rsidRPr="002E5EB4">
        <w:t>a Q</w:t>
      </w:r>
      <w:r w:rsidR="007D7108" w:rsidRPr="002E5EB4">
        <w:t xml:space="preserve">98,459.3 </w:t>
      </w:r>
      <w:r w:rsidR="002B5E54" w:rsidRPr="002E5EB4">
        <w:t>millones</w:t>
      </w:r>
      <w:r w:rsidR="006D705D">
        <w:t>,</w:t>
      </w:r>
      <w:r w:rsidR="001C6055" w:rsidRPr="002E5EB4">
        <w:t xml:space="preserve"> mostrando u</w:t>
      </w:r>
      <w:r w:rsidR="00D050DE" w:rsidRPr="002E5EB4">
        <w:t xml:space="preserve">n </w:t>
      </w:r>
      <w:r w:rsidR="002B5E54" w:rsidRPr="002E5EB4">
        <w:t>incremento interanual del 1</w:t>
      </w:r>
      <w:r w:rsidR="001C6055" w:rsidRPr="002E5EB4">
        <w:t>0</w:t>
      </w:r>
      <w:r w:rsidR="002B5E54" w:rsidRPr="002E5EB4">
        <w:t>.</w:t>
      </w:r>
      <w:r w:rsidR="006C4A97" w:rsidRPr="002E5EB4">
        <w:t>2</w:t>
      </w:r>
      <w:r w:rsidR="002B5E54" w:rsidRPr="002E5EB4">
        <w:t>% (Q</w:t>
      </w:r>
      <w:r w:rsidR="00405753" w:rsidRPr="002E5EB4">
        <w:t xml:space="preserve">9,114.3 </w:t>
      </w:r>
      <w:r w:rsidR="002B5E54" w:rsidRPr="002E5EB4">
        <w:t>millones)</w:t>
      </w:r>
      <w:r w:rsidR="00E876D3" w:rsidRPr="002E5EB4">
        <w:t xml:space="preserve"> </w:t>
      </w:r>
      <w:r w:rsidR="00996AFC" w:rsidRPr="002E5EB4">
        <w:t xml:space="preserve">continuando con una tendencia de </w:t>
      </w:r>
      <w:r w:rsidR="007F7A92" w:rsidRPr="002E5EB4">
        <w:t xml:space="preserve">desaceleración </w:t>
      </w:r>
      <w:r w:rsidR="00E876D3" w:rsidRPr="002E5EB4">
        <w:t xml:space="preserve">que se </w:t>
      </w:r>
      <w:r w:rsidR="00996AFC" w:rsidRPr="002E5EB4">
        <w:t>observaba</w:t>
      </w:r>
      <w:r w:rsidR="00E876D3" w:rsidRPr="002E5EB4">
        <w:t xml:space="preserve"> desde el segundo trimestre</w:t>
      </w:r>
      <w:r w:rsidR="00723D55" w:rsidRPr="002E5EB4">
        <w:t>.</w:t>
      </w:r>
    </w:p>
    <w:p w14:paraId="41B3F8A0" w14:textId="06906CD2" w:rsidR="00BD1875" w:rsidRPr="002E5EB4" w:rsidRDefault="004350ED" w:rsidP="00BD1875">
      <w:r w:rsidRPr="002E5EB4">
        <w:t xml:space="preserve">Los </w:t>
      </w:r>
      <w:r w:rsidR="00055B22" w:rsidRPr="002E5EB4">
        <w:t xml:space="preserve">ingresos </w:t>
      </w:r>
      <w:r w:rsidR="00AE6A6E" w:rsidRPr="002E5EB4">
        <w:t xml:space="preserve">por impuestos continúan siendo los </w:t>
      </w:r>
      <w:r w:rsidR="007D3B55" w:rsidRPr="002E5EB4">
        <w:t>más</w:t>
      </w:r>
      <w:r w:rsidR="00AE6A6E" w:rsidRPr="002E5EB4">
        <w:t xml:space="preserve"> significativos, </w:t>
      </w:r>
      <w:r w:rsidR="00651851" w:rsidRPr="002E5EB4">
        <w:t xml:space="preserve">representan el </w:t>
      </w:r>
      <w:r w:rsidR="00CA4469" w:rsidRPr="002E5EB4">
        <w:t>74</w:t>
      </w:r>
      <w:r w:rsidR="00BD1875" w:rsidRPr="002E5EB4">
        <w:t>.</w:t>
      </w:r>
      <w:r w:rsidR="00CA4469" w:rsidRPr="002E5EB4">
        <w:t>5</w:t>
      </w:r>
      <w:r w:rsidR="00BD1875" w:rsidRPr="002E5EB4">
        <w:t>% de los ingresos totales</w:t>
      </w:r>
      <w:r w:rsidR="006D705D">
        <w:t>,</w:t>
      </w:r>
      <w:r w:rsidR="00BD1875" w:rsidRPr="002E5EB4">
        <w:t xml:space="preserve"> seguido de las contribuciones sociales con el </w:t>
      </w:r>
      <w:r w:rsidR="00A02D79" w:rsidRPr="002E5EB4">
        <w:t>17.</w:t>
      </w:r>
      <w:r w:rsidR="00CA4469" w:rsidRPr="002E5EB4">
        <w:t>1</w:t>
      </w:r>
      <w:r w:rsidR="00BD1875" w:rsidRPr="002E5EB4">
        <w:t xml:space="preserve">%, la categoría de otros ingresos </w:t>
      </w:r>
      <w:r w:rsidR="008D0BE2" w:rsidRPr="002E5EB4">
        <w:t>son e</w:t>
      </w:r>
      <w:r w:rsidR="00CA4469" w:rsidRPr="002E5EB4">
        <w:t>l</w:t>
      </w:r>
      <w:r w:rsidR="00BD1875" w:rsidRPr="002E5EB4">
        <w:t xml:space="preserve"> </w:t>
      </w:r>
      <w:r w:rsidR="004C49B9" w:rsidRPr="002E5EB4">
        <w:t>8</w:t>
      </w:r>
      <w:r w:rsidR="00BD1875" w:rsidRPr="002E5EB4">
        <w:t>.</w:t>
      </w:r>
      <w:r w:rsidR="004C49B9" w:rsidRPr="002E5EB4">
        <w:t>3</w:t>
      </w:r>
      <w:r w:rsidR="00BD1875" w:rsidRPr="002E5EB4">
        <w:t xml:space="preserve">%, en tanto las donaciones recibidas el 0.1%. </w:t>
      </w:r>
    </w:p>
    <w:p w14:paraId="3055D76F" w14:textId="52C3DD5C" w:rsidR="00BD1875" w:rsidRPr="002E5EB4" w:rsidRDefault="00B836D3" w:rsidP="00BD1875">
      <w:pPr>
        <w:spacing w:before="0" w:after="0"/>
      </w:pPr>
      <w:r w:rsidRPr="002E5EB4">
        <w:rPr>
          <w:noProof/>
          <w:sz w:val="24"/>
          <w:lang w:eastAsia="es-GT"/>
        </w:rPr>
        <w:drawing>
          <wp:anchor distT="0" distB="0" distL="114300" distR="114300" simplePos="0" relativeHeight="251658248" behindDoc="0" locked="0" layoutInCell="1" allowOverlap="1" wp14:anchorId="0E488811" wp14:editId="68B3C968">
            <wp:simplePos x="0" y="0"/>
            <wp:positionH relativeFrom="margin">
              <wp:posOffset>28575</wp:posOffset>
            </wp:positionH>
            <wp:positionV relativeFrom="paragraph">
              <wp:posOffset>654685</wp:posOffset>
            </wp:positionV>
            <wp:extent cx="5982970" cy="1901825"/>
            <wp:effectExtent l="0" t="0" r="0" b="3175"/>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B23AE" w:rsidRPr="002E5EB4">
        <w:t>En términos de</w:t>
      </w:r>
      <w:r w:rsidR="00BD1875" w:rsidRPr="002E5EB4">
        <w:t xml:space="preserve"> crecimiento interanual</w:t>
      </w:r>
      <w:r w:rsidR="009B23AE" w:rsidRPr="002E5EB4">
        <w:t>,</w:t>
      </w:r>
      <w:r w:rsidR="00BD1875" w:rsidRPr="002E5EB4">
        <w:t xml:space="preserve"> los impuestos reportaron una variación del</w:t>
      </w:r>
      <w:r w:rsidR="008D0BE2" w:rsidRPr="002E5EB4">
        <w:t xml:space="preserve"> 8.2%</w:t>
      </w:r>
      <w:r w:rsidR="00BD1875" w:rsidRPr="002E5EB4">
        <w:t xml:space="preserve"> (Q</w:t>
      </w:r>
      <w:r w:rsidR="008D0BE2" w:rsidRPr="002E5EB4">
        <w:t>5,573.6</w:t>
      </w:r>
      <w:r w:rsidR="00BD1875" w:rsidRPr="002E5EB4">
        <w:t xml:space="preserve"> millones) seguido de las contribuciones sociales con una tasa de</w:t>
      </w:r>
      <w:r w:rsidR="00506DF7" w:rsidRPr="002E5EB4">
        <w:t>l</w:t>
      </w:r>
      <w:r w:rsidR="00BD1875" w:rsidRPr="002E5EB4">
        <w:t xml:space="preserve"> 1</w:t>
      </w:r>
      <w:r w:rsidR="00AB4344" w:rsidRPr="002E5EB4">
        <w:t>5</w:t>
      </w:r>
      <w:r w:rsidR="006464BE" w:rsidRPr="002E5EB4">
        <w:t>.</w:t>
      </w:r>
      <w:r w:rsidR="00AB4344" w:rsidRPr="002E5EB4">
        <w:t>0</w:t>
      </w:r>
      <w:r w:rsidR="00BD1875" w:rsidRPr="002E5EB4">
        <w:t>% (Q</w:t>
      </w:r>
      <w:r w:rsidR="00AB4344" w:rsidRPr="002E5EB4">
        <w:t>2,190.3</w:t>
      </w:r>
      <w:r w:rsidR="00BD1875" w:rsidRPr="002E5EB4">
        <w:t xml:space="preserve"> millones)</w:t>
      </w:r>
      <w:r w:rsidR="00555B7A" w:rsidRPr="002E5EB4">
        <w:t>, luego se sitúa l</w:t>
      </w:r>
      <w:r w:rsidR="00BD1875" w:rsidRPr="002E5EB4">
        <w:t xml:space="preserve">a categoría de otros ingresos </w:t>
      </w:r>
      <w:r w:rsidR="00555B7A" w:rsidRPr="002E5EB4">
        <w:t>con 20.6</w:t>
      </w:r>
      <w:r w:rsidR="00BD1875" w:rsidRPr="002E5EB4">
        <w:t>% (Q</w:t>
      </w:r>
      <w:r w:rsidR="00A15382" w:rsidRPr="002E5EB4">
        <w:t>1,398.5</w:t>
      </w:r>
      <w:r w:rsidR="00555B7A" w:rsidRPr="002E5EB4">
        <w:t xml:space="preserve"> </w:t>
      </w:r>
      <w:r w:rsidR="00BD1875" w:rsidRPr="002E5EB4">
        <w:t>millones)</w:t>
      </w:r>
      <w:r w:rsidR="00A15382" w:rsidRPr="002E5EB4">
        <w:t>. Por su parte,</w:t>
      </w:r>
      <w:r w:rsidR="00BD1875" w:rsidRPr="002E5EB4">
        <w:t xml:space="preserve"> las donaciones recibidas </w:t>
      </w:r>
      <w:r w:rsidR="008F4A4C" w:rsidRPr="002E5EB4">
        <w:t xml:space="preserve">continúan mostrando una </w:t>
      </w:r>
      <w:r w:rsidR="00214F33" w:rsidRPr="002E5EB4">
        <w:t>disminución</w:t>
      </w:r>
      <w:r w:rsidR="007C0BEF" w:rsidRPr="002E5EB4">
        <w:t xml:space="preserve"> </w:t>
      </w:r>
      <w:r w:rsidR="00BD1875" w:rsidRPr="002E5EB4">
        <w:t xml:space="preserve">interanual </w:t>
      </w:r>
      <w:r w:rsidR="008F4A4C" w:rsidRPr="002E5EB4">
        <w:t>d</w:t>
      </w:r>
      <w:r w:rsidR="00BD1875" w:rsidRPr="002E5EB4">
        <w:t>e</w:t>
      </w:r>
      <w:r w:rsidR="0074586F">
        <w:t>l</w:t>
      </w:r>
      <w:r w:rsidR="00BD1875" w:rsidRPr="002E5EB4">
        <w:t xml:space="preserve"> </w:t>
      </w:r>
      <w:r w:rsidR="008F4A4C" w:rsidRPr="002E5EB4">
        <w:t>36.8</w:t>
      </w:r>
      <w:r w:rsidR="00BD1875" w:rsidRPr="002E5EB4">
        <w:t>% (Q</w:t>
      </w:r>
      <w:r w:rsidR="008F4A4C" w:rsidRPr="002E5EB4">
        <w:t>48.1</w:t>
      </w:r>
      <w:r w:rsidR="00BD1875" w:rsidRPr="002E5EB4">
        <w:t xml:space="preserve"> millones)</w:t>
      </w:r>
      <w:r w:rsidR="00872646" w:rsidRPr="002E5EB4">
        <w:t>.</w:t>
      </w:r>
    </w:p>
    <w:p w14:paraId="60BDECA6" w14:textId="5E526FA2" w:rsidR="0004778B" w:rsidRPr="002E5EB4" w:rsidRDefault="00F44659" w:rsidP="00606466">
      <w:pPr>
        <w:spacing w:before="0" w:after="0"/>
      </w:pPr>
      <w:r w:rsidRPr="002E5EB4">
        <w:rPr>
          <w:noProof/>
          <w:lang w:eastAsia="es-GT"/>
        </w:rPr>
        <w:lastRenderedPageBreak/>
        <w:drawing>
          <wp:inline distT="0" distB="0" distL="0" distR="0" wp14:anchorId="1B9176C4" wp14:editId="22CC81F5">
            <wp:extent cx="5971540" cy="1844703"/>
            <wp:effectExtent l="0" t="0" r="0" b="31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A69E6E" w14:textId="77777777" w:rsidR="00D550B4" w:rsidRPr="002E5EB4" w:rsidRDefault="00D550B4" w:rsidP="0004778B">
      <w:pPr>
        <w:pStyle w:val="Prrafodelista"/>
        <w:spacing w:before="0" w:after="0"/>
        <w:ind w:left="0"/>
        <w:jc w:val="right"/>
        <w:rPr>
          <w:sz w:val="16"/>
          <w:szCs w:val="16"/>
        </w:rPr>
      </w:pPr>
      <w:r w:rsidRPr="002E5EB4">
        <w:rPr>
          <w:sz w:val="16"/>
          <w:szCs w:val="16"/>
        </w:rPr>
        <w:t>*Cifras preliminares</w:t>
      </w:r>
    </w:p>
    <w:p w14:paraId="28189151" w14:textId="7E747C45" w:rsidR="00D550B4" w:rsidRPr="002E5EB4" w:rsidRDefault="00D550B4" w:rsidP="0004778B">
      <w:pPr>
        <w:pStyle w:val="Prrafodelista"/>
        <w:spacing w:before="0" w:after="0"/>
        <w:ind w:left="0"/>
        <w:jc w:val="right"/>
        <w:rPr>
          <w:sz w:val="16"/>
          <w:szCs w:val="16"/>
        </w:rPr>
      </w:pPr>
      <w:r w:rsidRPr="002E5EB4">
        <w:rPr>
          <w:sz w:val="16"/>
          <w:szCs w:val="16"/>
        </w:rPr>
        <w:t xml:space="preserve"> Fuente: MINFIN</w:t>
      </w:r>
    </w:p>
    <w:p w14:paraId="7B785F6C" w14:textId="22F1568A" w:rsidR="002E7740" w:rsidRPr="002E5EB4" w:rsidRDefault="00DD4896" w:rsidP="00255602">
      <w:pPr>
        <w:pStyle w:val="Ttulo2"/>
        <w:numPr>
          <w:ilvl w:val="1"/>
          <w:numId w:val="11"/>
        </w:numPr>
        <w:tabs>
          <w:tab w:val="left" w:pos="426"/>
        </w:tabs>
        <w:spacing w:before="0"/>
        <w:ind w:left="284" w:hanging="284"/>
        <w:rPr>
          <w:rFonts w:cs="Times New Roman"/>
          <w:sz w:val="22"/>
          <w:szCs w:val="22"/>
        </w:rPr>
      </w:pPr>
      <w:bookmarkStart w:id="51" w:name="_Toc154158262"/>
      <w:r w:rsidRPr="002E5EB4">
        <w:rPr>
          <w:rFonts w:cs="Times New Roman"/>
          <w:sz w:val="22"/>
          <w:szCs w:val="22"/>
        </w:rPr>
        <w:t>La recaudación crece, pero a menor ritmo</w:t>
      </w:r>
      <w:bookmarkEnd w:id="51"/>
    </w:p>
    <w:p w14:paraId="28CFF77F" w14:textId="28B42A43" w:rsidR="00770D2B" w:rsidRPr="002E5EB4" w:rsidRDefault="004A7E3D" w:rsidP="00770D2B">
      <w:r w:rsidRPr="002E5EB4">
        <w:rPr>
          <w:noProof/>
          <w:sz w:val="22"/>
          <w:lang w:eastAsia="es-GT"/>
        </w:rPr>
        <w:drawing>
          <wp:anchor distT="0" distB="0" distL="114300" distR="114300" simplePos="0" relativeHeight="251658247" behindDoc="0" locked="0" layoutInCell="1" allowOverlap="1" wp14:anchorId="47A92BC0" wp14:editId="36AEEB2B">
            <wp:simplePos x="0" y="0"/>
            <wp:positionH relativeFrom="margin">
              <wp:posOffset>2941320</wp:posOffset>
            </wp:positionH>
            <wp:positionV relativeFrom="paragraph">
              <wp:posOffset>51435</wp:posOffset>
            </wp:positionV>
            <wp:extent cx="3075305" cy="5749290"/>
            <wp:effectExtent l="0" t="0" r="10795" b="3810"/>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954D35" w:rsidRPr="002E5EB4">
        <w:t>La recaudación de</w:t>
      </w:r>
      <w:r w:rsidR="00770D2B" w:rsidRPr="002E5EB4">
        <w:t xml:space="preserve"> impuestos</w:t>
      </w:r>
      <w:r w:rsidR="00EE4AC9" w:rsidRPr="002E5EB4">
        <w:t xml:space="preserve"> </w:t>
      </w:r>
      <w:r w:rsidR="00BD3EC8" w:rsidRPr="002E5EB4">
        <w:t xml:space="preserve">asciende a </w:t>
      </w:r>
      <w:r w:rsidR="00770D2B" w:rsidRPr="002E5EB4">
        <w:t>Q</w:t>
      </w:r>
      <w:r w:rsidR="007C40CF" w:rsidRPr="002E5EB4">
        <w:t>73,380.2</w:t>
      </w:r>
      <w:r w:rsidR="00BD3EC8" w:rsidRPr="002E5EB4">
        <w:t xml:space="preserve"> </w:t>
      </w:r>
      <w:r w:rsidR="00770D2B" w:rsidRPr="002E5EB4">
        <w:t>millones</w:t>
      </w:r>
      <w:r w:rsidR="00155161" w:rsidRPr="002E5EB4">
        <w:t>,</w:t>
      </w:r>
      <w:r w:rsidR="00BD3EC8" w:rsidRPr="002E5EB4">
        <w:t xml:space="preserve"> </w:t>
      </w:r>
      <w:r w:rsidR="003C3DE1" w:rsidRPr="002E5EB4">
        <w:t>mostrando</w:t>
      </w:r>
      <w:r w:rsidR="00BD3EC8" w:rsidRPr="002E5EB4">
        <w:t xml:space="preserve"> un crecimiento</w:t>
      </w:r>
      <w:r w:rsidR="00770D2B" w:rsidRPr="002E5EB4">
        <w:t xml:space="preserve"> interanual del </w:t>
      </w:r>
      <w:r w:rsidR="007C40CF" w:rsidRPr="002E5EB4">
        <w:t>8.2</w:t>
      </w:r>
      <w:r w:rsidR="00770D2B" w:rsidRPr="002E5EB4">
        <w:t>% (Q</w:t>
      </w:r>
      <w:r w:rsidR="007C40CF" w:rsidRPr="002E5EB4">
        <w:t>5,573.6</w:t>
      </w:r>
      <w:r w:rsidR="00814D98" w:rsidRPr="002E5EB4">
        <w:t xml:space="preserve"> millones</w:t>
      </w:r>
      <w:r w:rsidR="00770D2B" w:rsidRPr="002E5EB4">
        <w:t>)</w:t>
      </w:r>
      <w:r w:rsidR="007C40CF" w:rsidRPr="002E5EB4">
        <w:t xml:space="preserve"> y cabe menc</w:t>
      </w:r>
      <w:r w:rsidR="008A0CF9" w:rsidRPr="002E5EB4">
        <w:t xml:space="preserve">ionar que es menor al </w:t>
      </w:r>
      <w:r w:rsidR="007F0D73" w:rsidRPr="002E5EB4">
        <w:t xml:space="preserve">crecimiento del </w:t>
      </w:r>
      <w:r w:rsidR="00BB2FC0" w:rsidRPr="002E5EB4">
        <w:t>17.</w:t>
      </w:r>
      <w:r w:rsidR="007F0D73" w:rsidRPr="002E5EB4">
        <w:t>0</w:t>
      </w:r>
      <w:r w:rsidR="00BB2FC0" w:rsidRPr="002E5EB4">
        <w:t>% (Q</w:t>
      </w:r>
      <w:r w:rsidR="007F0D73" w:rsidRPr="002E5EB4">
        <w:t>9,837.6</w:t>
      </w:r>
      <w:r w:rsidR="00BB2FC0" w:rsidRPr="002E5EB4">
        <w:t xml:space="preserve"> millones)</w:t>
      </w:r>
      <w:r w:rsidR="007F0D73" w:rsidRPr="002E5EB4">
        <w:t xml:space="preserve"> que se observó al mismo periodo del año previo</w:t>
      </w:r>
      <w:r w:rsidR="008E4AEF">
        <w:t xml:space="preserve">. Cabe mencionar </w:t>
      </w:r>
      <w:r w:rsidR="003B687D">
        <w:t xml:space="preserve">durante todo el año se ha observado </w:t>
      </w:r>
      <w:r w:rsidR="006F6E18">
        <w:t xml:space="preserve">una </w:t>
      </w:r>
      <w:r w:rsidR="006F6E18" w:rsidRPr="002E5EB4">
        <w:t>desaceleración</w:t>
      </w:r>
      <w:r w:rsidR="003B687D">
        <w:t xml:space="preserve"> en la recaudación</w:t>
      </w:r>
      <w:r w:rsidR="00ED0FBB" w:rsidRPr="002E5EB4">
        <w:t>.</w:t>
      </w:r>
    </w:p>
    <w:p w14:paraId="4D56835A" w14:textId="44358AE6" w:rsidR="00770D2B" w:rsidRPr="002E5EB4" w:rsidRDefault="00770D2B" w:rsidP="00770D2B">
      <w:r w:rsidRPr="002E5EB4">
        <w:t>Dentro de los impuestos más relevantes por su participación, se encuentran:</w:t>
      </w:r>
    </w:p>
    <w:p w14:paraId="16BDDCEC" w14:textId="1E58E12B" w:rsidR="0003648B" w:rsidRPr="002E5EB4" w:rsidRDefault="008507E5" w:rsidP="008507E5">
      <w:pPr>
        <w:pStyle w:val="Prrafodelista"/>
        <w:numPr>
          <w:ilvl w:val="0"/>
          <w:numId w:val="48"/>
        </w:numPr>
      </w:pPr>
      <w:r w:rsidRPr="002E5EB4">
        <w:t>Los impuestos sobre el ingreso, las utilidades y las ganancias de capital son los que han experimentado un mayor crecimiento, situándose en Q25,930.2 millones</w:t>
      </w:r>
      <w:r w:rsidR="006D705D">
        <w:t>,</w:t>
      </w:r>
      <w:r w:rsidRPr="002E5EB4">
        <w:t xml:space="preserve"> con una variación del 11.7% (Q2,706.2 millones) de los cuales el impuesto aplicado a sociedades y otras empresas se incrementó en 11.9% (Q2,423.6 millones) y los asociados a personas físicas por 10.1%</w:t>
      </w:r>
      <w:r w:rsidR="00A548BE" w:rsidRPr="002E5EB4">
        <w:t xml:space="preserve"> </w:t>
      </w:r>
      <w:r w:rsidRPr="002E5EB4">
        <w:t>(Q283.0 millones).</w:t>
      </w:r>
    </w:p>
    <w:p w14:paraId="5D672766" w14:textId="77777777" w:rsidR="008507E5" w:rsidRPr="002E5EB4" w:rsidRDefault="008507E5" w:rsidP="0003648B">
      <w:pPr>
        <w:pStyle w:val="Prrafodelista"/>
        <w:ind w:left="360"/>
      </w:pPr>
    </w:p>
    <w:p w14:paraId="5F7236D8" w14:textId="216FCD1A" w:rsidR="0003648B" w:rsidRPr="002E5EB4" w:rsidRDefault="00DB2822" w:rsidP="000C277C">
      <w:pPr>
        <w:pStyle w:val="Prrafodelista"/>
        <w:numPr>
          <w:ilvl w:val="0"/>
          <w:numId w:val="47"/>
        </w:numPr>
        <w:spacing w:after="0"/>
      </w:pPr>
      <w:r w:rsidRPr="002E5EB4">
        <w:t>Los impuestos sobre los bienes y servicios han sido los segundos con mayor crecimiento entre todos los impuestos, al tercer trimestre estos tienen una recaudación de Q</w:t>
      </w:r>
      <w:r w:rsidR="00873998" w:rsidRPr="002E5EB4">
        <w:t>41,495.3</w:t>
      </w:r>
      <w:r w:rsidRPr="002E5EB4">
        <w:t xml:space="preserve"> millones y una tasa de variación del 6.</w:t>
      </w:r>
      <w:r w:rsidR="00873998" w:rsidRPr="002E5EB4">
        <w:t>6</w:t>
      </w:r>
      <w:r w:rsidRPr="002E5EB4">
        <w:t>% (Q</w:t>
      </w:r>
      <w:r w:rsidR="00862774" w:rsidRPr="002E5EB4">
        <w:t>2,564.7 millones</w:t>
      </w:r>
      <w:r w:rsidRPr="002E5EB4">
        <w:t>). El impuesto más significativo en esta categoría es el IVA</w:t>
      </w:r>
      <w:r w:rsidR="006D705D">
        <w:t>,</w:t>
      </w:r>
      <w:r w:rsidRPr="002E5EB4">
        <w:t xml:space="preserve"> el cual asciende a Q33,10</w:t>
      </w:r>
      <w:r w:rsidR="00862774" w:rsidRPr="002E5EB4">
        <w:t>3</w:t>
      </w:r>
      <w:r w:rsidRPr="002E5EB4">
        <w:t>.8 millones, mostrando un crecimiento interanual del 5.</w:t>
      </w:r>
      <w:r w:rsidR="00862774" w:rsidRPr="002E5EB4">
        <w:t>8</w:t>
      </w:r>
      <w:r w:rsidRPr="002E5EB4">
        <w:t>% (Q1,8</w:t>
      </w:r>
      <w:r w:rsidR="00862774" w:rsidRPr="002E5EB4">
        <w:t>27</w:t>
      </w:r>
      <w:r w:rsidRPr="002E5EB4">
        <w:t>.</w:t>
      </w:r>
      <w:r w:rsidR="00F64C9F" w:rsidRPr="002E5EB4">
        <w:t>1</w:t>
      </w:r>
      <w:r w:rsidRPr="002E5EB4">
        <w:t xml:space="preserve"> millones). </w:t>
      </w:r>
    </w:p>
    <w:p w14:paraId="2C8B3037" w14:textId="1198D537" w:rsidR="00770D2B" w:rsidRPr="002E5EB4" w:rsidRDefault="00CE46ED" w:rsidP="000E57A1">
      <w:r w:rsidRPr="002E5EB4">
        <w:t>E</w:t>
      </w:r>
      <w:r w:rsidR="00770D2B" w:rsidRPr="002E5EB4">
        <w:t>l gobierno central presupuestario</w:t>
      </w:r>
      <w:r w:rsidR="00561103" w:rsidRPr="002E5EB4">
        <w:t xml:space="preserve"> recauda el </w:t>
      </w:r>
      <w:r w:rsidR="00641133" w:rsidRPr="002E5EB4">
        <w:t>95.</w:t>
      </w:r>
      <w:r w:rsidR="00515CDC" w:rsidRPr="002E5EB4">
        <w:t>0</w:t>
      </w:r>
      <w:r w:rsidR="00641133" w:rsidRPr="002E5EB4">
        <w:t xml:space="preserve">% de todos los impuestos </w:t>
      </w:r>
      <w:r w:rsidR="007B4565" w:rsidRPr="002E5EB4">
        <w:t xml:space="preserve">del gobierno general, </w:t>
      </w:r>
      <w:r w:rsidR="00992C64" w:rsidRPr="002E5EB4">
        <w:t>mientras que</w:t>
      </w:r>
      <w:r w:rsidR="00770D2B" w:rsidRPr="002E5EB4">
        <w:t xml:space="preserve"> el gobierno central extrapresupuestario recaudó </w:t>
      </w:r>
      <w:r w:rsidR="00D611D2" w:rsidRPr="002E5EB4">
        <w:t>0</w:t>
      </w:r>
      <w:r w:rsidR="006C512F" w:rsidRPr="002E5EB4">
        <w:t>.9</w:t>
      </w:r>
      <w:r w:rsidR="00770D2B" w:rsidRPr="002E5EB4">
        <w:t>%</w:t>
      </w:r>
      <w:r w:rsidR="00467431">
        <w:t xml:space="preserve"> </w:t>
      </w:r>
      <w:r w:rsidR="00EE3406">
        <w:t>(</w:t>
      </w:r>
      <w:r w:rsidR="00EE3406" w:rsidRPr="002E5EB4">
        <w:t>derivado</w:t>
      </w:r>
      <w:r w:rsidR="00992C64" w:rsidRPr="002E5EB4">
        <w:t xml:space="preserve"> </w:t>
      </w:r>
      <w:r w:rsidR="00770D2B" w:rsidRPr="002E5EB4">
        <w:t xml:space="preserve">principalmente </w:t>
      </w:r>
      <w:r w:rsidR="00155161" w:rsidRPr="002E5EB4">
        <w:t>a</w:t>
      </w:r>
      <w:r w:rsidR="004F51D6">
        <w:t xml:space="preserve"> </w:t>
      </w:r>
      <w:r w:rsidR="00890908">
        <w:t>la</w:t>
      </w:r>
      <w:r w:rsidR="00155161" w:rsidRPr="002E5EB4">
        <w:t xml:space="preserve"> recaudación percibida por</w:t>
      </w:r>
      <w:r w:rsidR="00770D2B" w:rsidRPr="002E5EB4">
        <w:t xml:space="preserve"> el INTECAP y el INGUAT</w:t>
      </w:r>
      <w:r w:rsidR="00467431">
        <w:t>)</w:t>
      </w:r>
      <w:r w:rsidR="00607014" w:rsidRPr="002E5EB4">
        <w:t>,</w:t>
      </w:r>
      <w:r w:rsidR="00770D2B" w:rsidRPr="002E5EB4">
        <w:t xml:space="preserve"> los gobiernos locales el </w:t>
      </w:r>
      <w:r w:rsidR="00D611D2" w:rsidRPr="002E5EB4">
        <w:t>3</w:t>
      </w:r>
      <w:r w:rsidR="00770D2B" w:rsidRPr="002E5EB4">
        <w:t>.</w:t>
      </w:r>
      <w:r w:rsidR="00607014" w:rsidRPr="002E5EB4">
        <w:t>5</w:t>
      </w:r>
      <w:r w:rsidR="00992C64" w:rsidRPr="002E5EB4">
        <w:t xml:space="preserve">% </w:t>
      </w:r>
      <w:r w:rsidR="0011022F" w:rsidRPr="002E5EB4">
        <w:t>(</w:t>
      </w:r>
      <w:r w:rsidR="00992C64" w:rsidRPr="002E5EB4">
        <w:t xml:space="preserve">producto principalmente </w:t>
      </w:r>
      <w:r w:rsidR="00004C61" w:rsidRPr="002E5EB4">
        <w:t>de</w:t>
      </w:r>
      <w:r w:rsidR="00667387" w:rsidRPr="002E5EB4">
        <w:t xml:space="preserve"> la recaudación d</w:t>
      </w:r>
      <w:r w:rsidR="00770D2B" w:rsidRPr="002E5EB4">
        <w:t>el IUSI y la tasa de alumbrado público)</w:t>
      </w:r>
      <w:r w:rsidR="00607014" w:rsidRPr="002E5EB4">
        <w:t xml:space="preserve"> y los fondos de seguridad social el 0.6% restante (producto del impuesto </w:t>
      </w:r>
      <w:r w:rsidR="00697F30" w:rsidRPr="002E5EB4">
        <w:t>que recauda el</w:t>
      </w:r>
      <w:r w:rsidR="004F3ED1" w:rsidRPr="002E5EB4">
        <w:t xml:space="preserve"> IGSS </w:t>
      </w:r>
      <w:r w:rsidR="00467431">
        <w:t xml:space="preserve">por </w:t>
      </w:r>
      <w:r w:rsidR="009909E6">
        <w:t>el</w:t>
      </w:r>
      <w:r w:rsidR="00E127AA">
        <w:t xml:space="preserve"> pag</w:t>
      </w:r>
      <w:r w:rsidR="009909E6">
        <w:t>o de</w:t>
      </w:r>
      <w:r w:rsidR="00E127AA">
        <w:t xml:space="preserve"> las empresas privadas al</w:t>
      </w:r>
      <w:r w:rsidR="00BD22B9" w:rsidRPr="002E5EB4">
        <w:t xml:space="preserve"> </w:t>
      </w:r>
      <w:r w:rsidR="00C42658" w:rsidRPr="002E5EB4">
        <w:t>IRTRA)</w:t>
      </w:r>
      <w:r w:rsidR="00770D2B" w:rsidRPr="002E5EB4">
        <w:t>.</w:t>
      </w:r>
    </w:p>
    <w:p w14:paraId="2A0834A9" w14:textId="24D7C013" w:rsidR="00710798" w:rsidRPr="002E5EB4" w:rsidRDefault="00DD4896" w:rsidP="00710798">
      <w:pPr>
        <w:pStyle w:val="Ttulo2"/>
        <w:numPr>
          <w:ilvl w:val="1"/>
          <w:numId w:val="11"/>
        </w:numPr>
        <w:tabs>
          <w:tab w:val="left" w:pos="426"/>
        </w:tabs>
        <w:spacing w:before="0"/>
        <w:ind w:left="284" w:hanging="284"/>
        <w:rPr>
          <w:rFonts w:cs="Times New Roman"/>
          <w:sz w:val="22"/>
          <w:szCs w:val="22"/>
        </w:rPr>
      </w:pPr>
      <w:bookmarkStart w:id="52" w:name="_Toc154158263"/>
      <w:r w:rsidRPr="002E5EB4">
        <w:rPr>
          <w:rFonts w:cs="Times New Roman"/>
          <w:sz w:val="22"/>
          <w:szCs w:val="22"/>
        </w:rPr>
        <w:lastRenderedPageBreak/>
        <w:t xml:space="preserve">Las contribuciones sociales mejoran en </w:t>
      </w:r>
      <w:r w:rsidR="00CE1BBD" w:rsidRPr="002E5EB4">
        <w:rPr>
          <w:rFonts w:cs="Times New Roman"/>
          <w:sz w:val="22"/>
          <w:szCs w:val="22"/>
        </w:rPr>
        <w:t xml:space="preserve">el </w:t>
      </w:r>
      <w:r w:rsidRPr="002E5EB4">
        <w:rPr>
          <w:rFonts w:cs="Times New Roman"/>
          <w:sz w:val="22"/>
          <w:szCs w:val="22"/>
        </w:rPr>
        <w:t>tercer trimestre</w:t>
      </w:r>
      <w:bookmarkEnd w:id="52"/>
    </w:p>
    <w:p w14:paraId="02B913ED" w14:textId="736D7E2C" w:rsidR="002F516E" w:rsidRPr="002E5EB4" w:rsidRDefault="00A83AA2" w:rsidP="002F516E">
      <w:r w:rsidRPr="002E5EB4">
        <w:rPr>
          <w:noProof/>
          <w:sz w:val="24"/>
          <w:lang w:eastAsia="es-GT"/>
        </w:rPr>
        <w:drawing>
          <wp:anchor distT="0" distB="0" distL="114300" distR="114300" simplePos="0" relativeHeight="251658249" behindDoc="0" locked="0" layoutInCell="1" allowOverlap="1" wp14:anchorId="43A34F23" wp14:editId="5D8F1804">
            <wp:simplePos x="0" y="0"/>
            <wp:positionH relativeFrom="margin">
              <wp:align>left</wp:align>
            </wp:positionH>
            <wp:positionV relativeFrom="paragraph">
              <wp:posOffset>83820</wp:posOffset>
            </wp:positionV>
            <wp:extent cx="5972175" cy="2368550"/>
            <wp:effectExtent l="0" t="0" r="0" b="0"/>
            <wp:wrapSquare wrapText="bothSides"/>
            <wp:docPr id="1411651892" name="Gráfico 14116518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0581D" w:rsidRPr="002E5EB4">
        <w:t>Las</w:t>
      </w:r>
      <w:r w:rsidR="008F5841" w:rsidRPr="002E5EB4">
        <w:t xml:space="preserve"> c</w:t>
      </w:r>
      <w:r w:rsidR="002F516E" w:rsidRPr="002E5EB4">
        <w:t>ontribuciones sociales</w:t>
      </w:r>
      <w:r w:rsidR="0030581D" w:rsidRPr="002E5EB4">
        <w:t xml:space="preserve"> al tercer trimestre se sitúan en </w:t>
      </w:r>
      <w:r w:rsidR="002F516E" w:rsidRPr="002E5EB4">
        <w:t>Q</w:t>
      </w:r>
      <w:r w:rsidR="000B5388" w:rsidRPr="002E5EB4">
        <w:t>16,793.0</w:t>
      </w:r>
      <w:r w:rsidR="00497562" w:rsidRPr="002E5EB4">
        <w:t xml:space="preserve"> </w:t>
      </w:r>
      <w:r w:rsidR="002F516E" w:rsidRPr="002E5EB4">
        <w:t>millones</w:t>
      </w:r>
      <w:r w:rsidR="000B5388" w:rsidRPr="002E5EB4">
        <w:t xml:space="preserve">, teniendo un </w:t>
      </w:r>
      <w:r w:rsidR="002F516E" w:rsidRPr="002E5EB4">
        <w:t>crecimiento interanual de</w:t>
      </w:r>
      <w:r w:rsidR="00497562" w:rsidRPr="002E5EB4">
        <w:t>l</w:t>
      </w:r>
      <w:r w:rsidR="002F516E" w:rsidRPr="002E5EB4">
        <w:t xml:space="preserve"> </w:t>
      </w:r>
      <w:r w:rsidR="00497562" w:rsidRPr="002E5EB4">
        <w:t>1</w:t>
      </w:r>
      <w:r w:rsidR="000B5388" w:rsidRPr="002E5EB4">
        <w:t>5</w:t>
      </w:r>
      <w:r w:rsidR="00497562" w:rsidRPr="002E5EB4">
        <w:t>.</w:t>
      </w:r>
      <w:r w:rsidR="000B5388" w:rsidRPr="002E5EB4">
        <w:t>0</w:t>
      </w:r>
      <w:r w:rsidR="002F516E" w:rsidRPr="002E5EB4">
        <w:t>% (Q</w:t>
      </w:r>
      <w:r w:rsidR="000B5388" w:rsidRPr="002E5EB4">
        <w:t>2,190.3</w:t>
      </w:r>
      <w:r w:rsidR="002F516E" w:rsidRPr="002E5EB4">
        <w:t xml:space="preserve"> millones)</w:t>
      </w:r>
      <w:r w:rsidR="009E3953" w:rsidRPr="002E5EB4">
        <w:t xml:space="preserve"> por encima de</w:t>
      </w:r>
      <w:r w:rsidR="00A108B0" w:rsidRPr="002E5EB4">
        <w:t>l comportamiento al mismo periodo d</w:t>
      </w:r>
      <w:r w:rsidR="009E3953" w:rsidRPr="002E5EB4">
        <w:t>el año previo de 6.</w:t>
      </w:r>
      <w:r w:rsidR="00A108B0" w:rsidRPr="002E5EB4">
        <w:t>2</w:t>
      </w:r>
      <w:r w:rsidR="009E3953" w:rsidRPr="002E5EB4">
        <w:t>% (</w:t>
      </w:r>
      <w:r w:rsidR="00CC33AF" w:rsidRPr="002E5EB4">
        <w:t>Q851.4 millones</w:t>
      </w:r>
      <w:r w:rsidR="00221F6A" w:rsidRPr="002E5EB4">
        <w:t>)</w:t>
      </w:r>
      <w:r w:rsidR="002F516E" w:rsidRPr="002E5EB4">
        <w:t>.</w:t>
      </w:r>
      <w:r w:rsidR="00CC33AF" w:rsidRPr="002E5EB4">
        <w:t xml:space="preserve"> </w:t>
      </w:r>
      <w:r w:rsidR="00782BA1" w:rsidRPr="002E5EB4">
        <w:t>Cabe</w:t>
      </w:r>
      <w:r w:rsidR="00CC33AF" w:rsidRPr="002E5EB4">
        <w:t xml:space="preserve"> mencionar que en</w:t>
      </w:r>
      <w:r w:rsidR="00782BA1" w:rsidRPr="002E5EB4">
        <w:t xml:space="preserve"> el</w:t>
      </w:r>
      <w:r w:rsidR="00CC33AF" w:rsidRPr="002E5EB4">
        <w:t xml:space="preserve"> tercer trimestre se observó un </w:t>
      </w:r>
      <w:r w:rsidR="004942BC" w:rsidRPr="002E5EB4">
        <w:t>mejor ritmo de crecimiento respecto al segundo trimestre, el cual</w:t>
      </w:r>
      <w:r w:rsidR="00782BA1" w:rsidRPr="002E5EB4">
        <w:t xml:space="preserve"> había</w:t>
      </w:r>
      <w:r w:rsidR="004942BC" w:rsidRPr="002E5EB4">
        <w:t xml:space="preserve"> culmin</w:t>
      </w:r>
      <w:r w:rsidR="00782BA1" w:rsidRPr="002E5EB4">
        <w:t>ado</w:t>
      </w:r>
      <w:r w:rsidR="004942BC" w:rsidRPr="002E5EB4">
        <w:t xml:space="preserve"> con una tasa de variación del </w:t>
      </w:r>
      <w:r w:rsidR="00782BA1" w:rsidRPr="002E5EB4">
        <w:t>14.2%.</w:t>
      </w:r>
    </w:p>
    <w:p w14:paraId="113E22EC" w14:textId="2D16AB82" w:rsidR="002F516E" w:rsidRPr="002E5EB4" w:rsidRDefault="00F90A63" w:rsidP="002F516E">
      <w:r w:rsidRPr="002E5EB4">
        <w:t>L</w:t>
      </w:r>
      <w:r w:rsidR="002F516E" w:rsidRPr="002E5EB4">
        <w:t>as contribuciones a la seguridad social (que constituyen ingresos recibidos solamente por las entidades de seguridad social) ascendieron a Q</w:t>
      </w:r>
      <w:r w:rsidR="001270A4" w:rsidRPr="002E5EB4">
        <w:t xml:space="preserve">11,197.3 </w:t>
      </w:r>
      <w:r w:rsidR="002F516E" w:rsidRPr="002E5EB4">
        <w:t>millones</w:t>
      </w:r>
      <w:r w:rsidR="00B32B21" w:rsidRPr="002E5EB4">
        <w:t>, mostrando</w:t>
      </w:r>
      <w:r w:rsidR="002F516E" w:rsidRPr="002E5EB4">
        <w:t xml:space="preserve"> </w:t>
      </w:r>
      <w:r w:rsidR="00B32B21" w:rsidRPr="002E5EB4">
        <w:t>u</w:t>
      </w:r>
      <w:r w:rsidR="002F516E" w:rsidRPr="002E5EB4">
        <w:t>na tasa de crecimiento</w:t>
      </w:r>
      <w:r w:rsidR="00155161" w:rsidRPr="002E5EB4">
        <w:t xml:space="preserve"> </w:t>
      </w:r>
      <w:r w:rsidR="002F516E" w:rsidRPr="002E5EB4">
        <w:t>del 1</w:t>
      </w:r>
      <w:r w:rsidR="00B32B21" w:rsidRPr="002E5EB4">
        <w:t>3</w:t>
      </w:r>
      <w:r w:rsidR="002F516E" w:rsidRPr="002E5EB4">
        <w:t>.</w:t>
      </w:r>
      <w:r w:rsidR="001F7B83" w:rsidRPr="002E5EB4">
        <w:t>0</w:t>
      </w:r>
      <w:r w:rsidR="002F516E" w:rsidRPr="002E5EB4">
        <w:t>% (Q</w:t>
      </w:r>
      <w:r w:rsidR="00A20773" w:rsidRPr="002E5EB4">
        <w:t>1,292.0 millones</w:t>
      </w:r>
      <w:r w:rsidR="002F516E" w:rsidRPr="002E5EB4">
        <w:t>)</w:t>
      </w:r>
      <w:r w:rsidR="00E92360" w:rsidRPr="002E5EB4">
        <w:t>,</w:t>
      </w:r>
      <w:r w:rsidR="002F516E" w:rsidRPr="002E5EB4">
        <w:t xml:space="preserve"> en tanto</w:t>
      </w:r>
      <w:r w:rsidR="00732E93" w:rsidRPr="002E5EB4">
        <w:t xml:space="preserve"> la categoría de</w:t>
      </w:r>
      <w:r w:rsidR="002F516E" w:rsidRPr="002E5EB4">
        <w:t xml:space="preserve"> las otras contribuciones </w:t>
      </w:r>
      <w:r w:rsidR="00C92759" w:rsidRPr="002E5EB4">
        <w:t xml:space="preserve">sociales </w:t>
      </w:r>
      <w:r w:rsidR="00B32B21" w:rsidRPr="002E5EB4">
        <w:t>se situaron en</w:t>
      </w:r>
      <w:r w:rsidR="002F516E" w:rsidRPr="002E5EB4">
        <w:t xml:space="preserve"> Q</w:t>
      </w:r>
      <w:r w:rsidR="00B32B21" w:rsidRPr="002E5EB4">
        <w:t>5,595.6</w:t>
      </w:r>
      <w:r w:rsidR="00D57C3A" w:rsidRPr="002E5EB4">
        <w:t xml:space="preserve"> </w:t>
      </w:r>
      <w:r w:rsidR="002F516E" w:rsidRPr="002E5EB4">
        <w:t>millones</w:t>
      </w:r>
      <w:r w:rsidR="006D705D">
        <w:t>,</w:t>
      </w:r>
      <w:r w:rsidR="00A20773" w:rsidRPr="002E5EB4">
        <w:t xml:space="preserve"> siendo una tasa de variación</w:t>
      </w:r>
      <w:r w:rsidR="002F516E" w:rsidRPr="002E5EB4">
        <w:t xml:space="preserve"> interanual de</w:t>
      </w:r>
      <w:r w:rsidR="00D57C3A" w:rsidRPr="002E5EB4">
        <w:t>l</w:t>
      </w:r>
      <w:r w:rsidR="002F516E" w:rsidRPr="002E5EB4">
        <w:t xml:space="preserve"> </w:t>
      </w:r>
      <w:r w:rsidR="00D57C3A" w:rsidRPr="002E5EB4">
        <w:t>19</w:t>
      </w:r>
      <w:r w:rsidR="002F516E" w:rsidRPr="002E5EB4">
        <w:t>.</w:t>
      </w:r>
      <w:r w:rsidR="00A20773" w:rsidRPr="002E5EB4">
        <w:t>1</w:t>
      </w:r>
      <w:r w:rsidR="002F516E" w:rsidRPr="002E5EB4">
        <w:t>% (Q</w:t>
      </w:r>
      <w:r w:rsidR="00A20773" w:rsidRPr="002E5EB4">
        <w:t>898.4</w:t>
      </w:r>
      <w:r w:rsidR="002F516E" w:rsidRPr="002E5EB4">
        <w:t xml:space="preserve"> millones).</w:t>
      </w:r>
    </w:p>
    <w:p w14:paraId="7AD96CDB" w14:textId="75A6F892" w:rsidR="001D0612" w:rsidRPr="002E5EB4" w:rsidRDefault="00234309" w:rsidP="002F516E">
      <w:pPr>
        <w:rPr>
          <w:lang w:val="es-MX"/>
        </w:rPr>
      </w:pPr>
      <w:r w:rsidRPr="002E5EB4">
        <w:t>L</w:t>
      </w:r>
      <w:r w:rsidR="006F286F" w:rsidRPr="002E5EB4">
        <w:t xml:space="preserve">os </w:t>
      </w:r>
      <w:r w:rsidR="002F516E" w:rsidRPr="002E5EB4">
        <w:t>fondos de seguridad</w:t>
      </w:r>
      <w:r w:rsidR="002C10E9" w:rsidRPr="002E5EB4">
        <w:t xml:space="preserve"> </w:t>
      </w:r>
      <w:r w:rsidRPr="002E5EB4">
        <w:t xml:space="preserve">son los que mayor </w:t>
      </w:r>
      <w:r w:rsidR="002C10E9" w:rsidRPr="002E5EB4">
        <w:t>recauda</w:t>
      </w:r>
      <w:r w:rsidRPr="002E5EB4">
        <w:t>ción tienen en esta cuenta económica, el cual equivale a</w:t>
      </w:r>
      <w:r w:rsidR="002C10E9" w:rsidRPr="002E5EB4">
        <w:t>l</w:t>
      </w:r>
      <w:r w:rsidR="006F286F" w:rsidRPr="002E5EB4">
        <w:t xml:space="preserve"> </w:t>
      </w:r>
      <w:r w:rsidR="00134898" w:rsidRPr="002E5EB4">
        <w:t>69</w:t>
      </w:r>
      <w:r w:rsidR="00F80AF1" w:rsidRPr="002E5EB4">
        <w:t>.</w:t>
      </w:r>
      <w:r w:rsidR="00134898" w:rsidRPr="002E5EB4">
        <w:t>5</w:t>
      </w:r>
      <w:r w:rsidR="002F516E" w:rsidRPr="002E5EB4">
        <w:t>%</w:t>
      </w:r>
      <w:r w:rsidR="002C10E9" w:rsidRPr="002E5EB4">
        <w:t>,</w:t>
      </w:r>
      <w:r w:rsidR="00707885" w:rsidRPr="002E5EB4">
        <w:t xml:space="preserve"> </w:t>
      </w:r>
      <w:r w:rsidR="002F516E" w:rsidRPr="002E5EB4">
        <w:t xml:space="preserve">seguido del gobierno central presupuestario </w:t>
      </w:r>
      <w:r w:rsidR="008739BA" w:rsidRPr="002E5EB4">
        <w:t>con</w:t>
      </w:r>
      <w:r w:rsidR="002F516E" w:rsidRPr="002E5EB4">
        <w:t xml:space="preserve"> </w:t>
      </w:r>
      <w:r w:rsidR="008739BA" w:rsidRPr="002E5EB4">
        <w:t>un</w:t>
      </w:r>
      <w:r w:rsidR="0057526C" w:rsidRPr="002E5EB4">
        <w:t xml:space="preserve"> </w:t>
      </w:r>
      <w:r w:rsidR="00F80AF1" w:rsidRPr="002E5EB4">
        <w:t>2</w:t>
      </w:r>
      <w:r w:rsidR="008739BA" w:rsidRPr="002E5EB4">
        <w:t>7</w:t>
      </w:r>
      <w:r w:rsidR="002F516E" w:rsidRPr="002E5EB4">
        <w:t>.</w:t>
      </w:r>
      <w:r w:rsidR="008739BA" w:rsidRPr="002E5EB4">
        <w:t>0</w:t>
      </w:r>
      <w:r w:rsidR="002F516E" w:rsidRPr="002E5EB4">
        <w:t>%</w:t>
      </w:r>
      <w:r w:rsidR="0057526C" w:rsidRPr="002E5EB4">
        <w:t>,</w:t>
      </w:r>
      <w:r w:rsidR="002F516E" w:rsidRPr="002E5EB4">
        <w:t xml:space="preserve"> el gobierno central extrapresupuestario con </w:t>
      </w:r>
      <w:r w:rsidR="0057526C" w:rsidRPr="002E5EB4">
        <w:t xml:space="preserve">el </w:t>
      </w:r>
      <w:r w:rsidR="00F80AF1" w:rsidRPr="002E5EB4">
        <w:t>2</w:t>
      </w:r>
      <w:r w:rsidR="00081E99" w:rsidRPr="002E5EB4">
        <w:t>.</w:t>
      </w:r>
      <w:r w:rsidR="00C25196" w:rsidRPr="002E5EB4">
        <w:t>4</w:t>
      </w:r>
      <w:r w:rsidR="002F516E" w:rsidRPr="002E5EB4">
        <w:t xml:space="preserve">% y los gobiernos locales con </w:t>
      </w:r>
      <w:r w:rsidR="00500E50" w:rsidRPr="002E5EB4">
        <w:t xml:space="preserve">el </w:t>
      </w:r>
      <w:r w:rsidR="002F516E" w:rsidRPr="002E5EB4">
        <w:t>1.</w:t>
      </w:r>
      <w:r w:rsidR="00081E99" w:rsidRPr="002E5EB4">
        <w:t>1</w:t>
      </w:r>
      <w:r w:rsidR="002F516E" w:rsidRPr="002E5EB4">
        <w:t>%.</w:t>
      </w:r>
    </w:p>
    <w:p w14:paraId="7E0B5894" w14:textId="45E9A05C" w:rsidR="00E66A98" w:rsidRPr="002E5EB4" w:rsidRDefault="00E66A98" w:rsidP="00E66A98">
      <w:pPr>
        <w:pStyle w:val="Prrafodelista"/>
        <w:numPr>
          <w:ilvl w:val="0"/>
          <w:numId w:val="32"/>
        </w:numPr>
        <w:outlineLvl w:val="2"/>
        <w:rPr>
          <w:rFonts w:cs="Times New Roman"/>
          <w:b/>
          <w:vanish/>
          <w:lang w:val="es-MX"/>
        </w:rPr>
      </w:pPr>
      <w:bookmarkStart w:id="53" w:name="_Toc135128836"/>
      <w:bookmarkStart w:id="54" w:name="_Toc135128869"/>
      <w:bookmarkStart w:id="55" w:name="_Toc135133709"/>
      <w:bookmarkStart w:id="56" w:name="_Toc135143046"/>
      <w:bookmarkStart w:id="57" w:name="_Toc135819364"/>
      <w:bookmarkStart w:id="58" w:name="_Toc136329481"/>
      <w:bookmarkStart w:id="59" w:name="_Toc136329602"/>
      <w:bookmarkStart w:id="60" w:name="_Toc136611279"/>
      <w:bookmarkStart w:id="61" w:name="_Toc136611324"/>
      <w:bookmarkStart w:id="62" w:name="_Toc136611441"/>
      <w:bookmarkStart w:id="63" w:name="_Toc136611488"/>
      <w:bookmarkStart w:id="64" w:name="_Toc136611576"/>
      <w:bookmarkStart w:id="65" w:name="_Toc139876568"/>
      <w:bookmarkStart w:id="66" w:name="_Toc139876595"/>
      <w:bookmarkStart w:id="67" w:name="_Toc139876845"/>
      <w:bookmarkStart w:id="68" w:name="_Toc139876873"/>
      <w:bookmarkStart w:id="69" w:name="_Toc139876909"/>
      <w:bookmarkStart w:id="70" w:name="_Toc142898565"/>
      <w:bookmarkStart w:id="71" w:name="_Toc143164402"/>
      <w:bookmarkStart w:id="72" w:name="_Toc143164495"/>
      <w:bookmarkStart w:id="73" w:name="_Toc143164523"/>
      <w:bookmarkStart w:id="74" w:name="_Toc143167414"/>
      <w:bookmarkStart w:id="75" w:name="_Toc143170053"/>
      <w:bookmarkStart w:id="76" w:name="_Toc153871585"/>
      <w:bookmarkStart w:id="77" w:name="_Toc153871621"/>
      <w:bookmarkStart w:id="78" w:name="_Toc153871864"/>
      <w:bookmarkStart w:id="79" w:name="_Toc153871929"/>
      <w:bookmarkStart w:id="80" w:name="_Toc153891181"/>
      <w:bookmarkStart w:id="81" w:name="_Toc153891288"/>
      <w:bookmarkStart w:id="82" w:name="_Toc153981060"/>
      <w:bookmarkStart w:id="83" w:name="_Toc153981127"/>
      <w:bookmarkStart w:id="84" w:name="_Toc153981157"/>
      <w:bookmarkStart w:id="85" w:name="_Toc153981186"/>
      <w:bookmarkStart w:id="86" w:name="_Toc153981277"/>
      <w:bookmarkStart w:id="87" w:name="_Toc153981306"/>
      <w:bookmarkStart w:id="88" w:name="_Toc153981361"/>
      <w:bookmarkStart w:id="89" w:name="_Toc153981390"/>
      <w:bookmarkStart w:id="90" w:name="_Toc153982116"/>
      <w:bookmarkStart w:id="91" w:name="_Toc154041116"/>
      <w:bookmarkStart w:id="92" w:name="_Toc154049277"/>
      <w:bookmarkStart w:id="93" w:name="_Toc15415826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4523242" w14:textId="77777777" w:rsidR="00E66A98" w:rsidRPr="002E5EB4" w:rsidRDefault="00E66A98" w:rsidP="00E66A98">
      <w:pPr>
        <w:pStyle w:val="Prrafodelista"/>
        <w:numPr>
          <w:ilvl w:val="1"/>
          <w:numId w:val="32"/>
        </w:numPr>
        <w:outlineLvl w:val="2"/>
        <w:rPr>
          <w:rFonts w:cs="Times New Roman"/>
          <w:b/>
          <w:vanish/>
          <w:lang w:val="es-MX"/>
        </w:rPr>
      </w:pPr>
      <w:bookmarkStart w:id="94" w:name="_Toc31612760"/>
      <w:bookmarkStart w:id="95" w:name="_Toc31612792"/>
      <w:bookmarkStart w:id="96" w:name="_Toc31614818"/>
      <w:bookmarkStart w:id="97" w:name="_Toc31614850"/>
      <w:bookmarkStart w:id="98" w:name="_Toc31618687"/>
      <w:bookmarkStart w:id="99" w:name="_Toc31618720"/>
      <w:bookmarkStart w:id="100" w:name="_Toc31624496"/>
      <w:bookmarkStart w:id="101" w:name="_Toc31625348"/>
      <w:bookmarkStart w:id="102" w:name="_Toc31626803"/>
      <w:bookmarkStart w:id="103" w:name="_Toc31811254"/>
      <w:bookmarkStart w:id="104" w:name="_Toc31811699"/>
      <w:bookmarkStart w:id="105" w:name="_Toc31971862"/>
      <w:bookmarkStart w:id="106" w:name="_Toc32230884"/>
      <w:bookmarkStart w:id="107" w:name="_Toc33109783"/>
      <w:bookmarkStart w:id="108" w:name="_Toc33109826"/>
      <w:bookmarkStart w:id="109" w:name="_Toc33180547"/>
      <w:bookmarkStart w:id="110" w:name="_Toc33180641"/>
      <w:bookmarkStart w:id="111" w:name="_Toc33193538"/>
      <w:bookmarkStart w:id="112" w:name="_Toc33193577"/>
      <w:bookmarkStart w:id="113" w:name="_Toc33196774"/>
      <w:bookmarkStart w:id="114" w:name="_Toc40691750"/>
      <w:bookmarkStart w:id="115" w:name="_Toc40959153"/>
      <w:bookmarkStart w:id="116" w:name="_Toc40975987"/>
      <w:bookmarkStart w:id="117" w:name="_Toc40976056"/>
      <w:bookmarkStart w:id="118" w:name="_Toc40993311"/>
      <w:bookmarkStart w:id="119" w:name="_Toc40993693"/>
      <w:bookmarkStart w:id="120" w:name="_Toc41037569"/>
      <w:bookmarkStart w:id="121" w:name="_Toc41254129"/>
      <w:bookmarkStart w:id="122" w:name="_Toc41254161"/>
      <w:bookmarkStart w:id="123" w:name="_Toc41254181"/>
      <w:bookmarkStart w:id="124" w:name="_Toc42023954"/>
      <w:bookmarkStart w:id="125" w:name="_Toc42024007"/>
      <w:bookmarkStart w:id="126" w:name="_Toc42069105"/>
      <w:bookmarkStart w:id="127" w:name="_Toc49422051"/>
      <w:bookmarkStart w:id="128" w:name="_Toc49422077"/>
      <w:bookmarkStart w:id="129" w:name="_Toc49430656"/>
      <w:bookmarkStart w:id="130" w:name="_Toc49430682"/>
      <w:bookmarkStart w:id="131" w:name="_Toc49750459"/>
      <w:bookmarkStart w:id="132" w:name="_Toc49750709"/>
      <w:bookmarkStart w:id="133" w:name="_Toc49750737"/>
      <w:bookmarkStart w:id="134" w:name="_Toc55284823"/>
      <w:bookmarkStart w:id="135" w:name="_Toc55298841"/>
      <w:bookmarkStart w:id="136" w:name="_Toc55373822"/>
      <w:bookmarkStart w:id="137" w:name="_Toc55373995"/>
      <w:bookmarkStart w:id="138" w:name="_Toc55375132"/>
      <w:bookmarkStart w:id="139" w:name="_Toc55396540"/>
      <w:bookmarkStart w:id="140" w:name="_Toc65230536"/>
      <w:bookmarkStart w:id="141" w:name="_Toc65230774"/>
      <w:bookmarkStart w:id="142" w:name="_Toc65232058"/>
      <w:bookmarkStart w:id="143" w:name="_Toc65232303"/>
      <w:bookmarkStart w:id="144" w:name="_Toc66716162"/>
      <w:bookmarkStart w:id="145" w:name="_Toc71097207"/>
      <w:bookmarkStart w:id="146" w:name="_Toc71097238"/>
      <w:bookmarkStart w:id="147" w:name="_Toc71097313"/>
      <w:bookmarkStart w:id="148" w:name="_Toc71108053"/>
      <w:bookmarkStart w:id="149" w:name="_Toc79055247"/>
      <w:bookmarkStart w:id="150" w:name="_Toc79055278"/>
      <w:bookmarkStart w:id="151" w:name="_Toc79060169"/>
      <w:bookmarkStart w:id="152" w:name="_Toc79060456"/>
      <w:bookmarkStart w:id="153" w:name="_Toc81307813"/>
      <w:bookmarkStart w:id="154" w:name="_Toc83376474"/>
      <w:bookmarkStart w:id="155" w:name="_Toc86386713"/>
      <w:bookmarkStart w:id="156" w:name="_Toc86405399"/>
      <w:bookmarkStart w:id="157" w:name="_Toc98162429"/>
      <w:bookmarkStart w:id="158" w:name="_Toc98162461"/>
      <w:bookmarkStart w:id="159" w:name="_Toc98234987"/>
      <w:bookmarkStart w:id="160" w:name="_Toc98235182"/>
      <w:bookmarkStart w:id="161" w:name="_Toc98235267"/>
      <w:bookmarkStart w:id="162" w:name="_Toc98757137"/>
      <w:bookmarkStart w:id="163" w:name="_Toc101874692"/>
      <w:bookmarkStart w:id="164" w:name="_Toc101954148"/>
      <w:bookmarkStart w:id="165" w:name="_Toc101971965"/>
      <w:bookmarkStart w:id="166" w:name="_Toc101974057"/>
      <w:bookmarkStart w:id="167" w:name="_Toc102039742"/>
      <w:bookmarkStart w:id="168" w:name="_Toc102039780"/>
      <w:bookmarkStart w:id="169" w:name="_Toc102039820"/>
      <w:bookmarkStart w:id="170" w:name="_Toc102039851"/>
      <w:bookmarkStart w:id="171" w:name="_Toc102040909"/>
      <w:bookmarkStart w:id="172" w:name="_Toc102477757"/>
      <w:bookmarkStart w:id="173" w:name="_Toc102477788"/>
      <w:bookmarkStart w:id="174" w:name="_Toc109824818"/>
      <w:bookmarkStart w:id="175" w:name="_Toc109828774"/>
      <w:bookmarkStart w:id="176" w:name="_Toc109828837"/>
      <w:bookmarkStart w:id="177" w:name="_Toc109829013"/>
      <w:bookmarkStart w:id="178" w:name="_Toc109829044"/>
      <w:bookmarkStart w:id="179" w:name="_Toc109833888"/>
      <w:bookmarkStart w:id="180" w:name="_Toc110237431"/>
      <w:bookmarkStart w:id="181" w:name="_Toc117775308"/>
      <w:bookmarkStart w:id="182" w:name="_Toc117781277"/>
      <w:bookmarkStart w:id="183" w:name="_Toc125620806"/>
      <w:bookmarkStart w:id="184" w:name="_Toc125620837"/>
      <w:bookmarkStart w:id="185" w:name="_Toc125620868"/>
      <w:bookmarkStart w:id="186" w:name="_Toc125620904"/>
      <w:bookmarkStart w:id="187" w:name="_Toc125620935"/>
      <w:bookmarkStart w:id="188" w:name="_Toc125620968"/>
      <w:bookmarkStart w:id="189" w:name="_Toc125621021"/>
      <w:bookmarkStart w:id="190" w:name="_Toc125621075"/>
      <w:bookmarkStart w:id="191" w:name="_Toc125623553"/>
      <w:bookmarkStart w:id="192" w:name="_Toc125623585"/>
      <w:bookmarkStart w:id="193" w:name="_Toc125623617"/>
      <w:bookmarkStart w:id="194" w:name="_Toc125970363"/>
      <w:bookmarkStart w:id="195" w:name="_Toc125970395"/>
      <w:bookmarkStart w:id="196" w:name="_Toc127365846"/>
      <w:bookmarkStart w:id="197" w:name="_Toc127434598"/>
      <w:bookmarkStart w:id="198" w:name="_Toc127436965"/>
      <w:bookmarkStart w:id="199" w:name="_Toc127437327"/>
      <w:bookmarkStart w:id="200" w:name="_Toc127437680"/>
      <w:bookmarkStart w:id="201" w:name="_Toc135128837"/>
      <w:bookmarkStart w:id="202" w:name="_Toc135128870"/>
      <w:bookmarkStart w:id="203" w:name="_Toc135133710"/>
      <w:bookmarkStart w:id="204" w:name="_Toc135143047"/>
      <w:bookmarkStart w:id="205" w:name="_Toc135819365"/>
      <w:bookmarkStart w:id="206" w:name="_Toc136329482"/>
      <w:bookmarkStart w:id="207" w:name="_Toc136329603"/>
      <w:bookmarkStart w:id="208" w:name="_Toc136611280"/>
      <w:bookmarkStart w:id="209" w:name="_Toc136611325"/>
      <w:bookmarkStart w:id="210" w:name="_Toc136611442"/>
      <w:bookmarkStart w:id="211" w:name="_Toc136611489"/>
      <w:bookmarkStart w:id="212" w:name="_Toc136611577"/>
      <w:bookmarkStart w:id="213" w:name="_Toc139876569"/>
      <w:bookmarkStart w:id="214" w:name="_Toc139876596"/>
      <w:bookmarkStart w:id="215" w:name="_Toc139876846"/>
      <w:bookmarkStart w:id="216" w:name="_Toc139876874"/>
      <w:bookmarkStart w:id="217" w:name="_Toc139876910"/>
      <w:bookmarkStart w:id="218" w:name="_Toc142898566"/>
      <w:bookmarkStart w:id="219" w:name="_Toc143164403"/>
      <w:bookmarkStart w:id="220" w:name="_Toc143164496"/>
      <w:bookmarkStart w:id="221" w:name="_Toc143164524"/>
      <w:bookmarkStart w:id="222" w:name="_Toc143167415"/>
      <w:bookmarkStart w:id="223" w:name="_Toc143170054"/>
      <w:bookmarkStart w:id="224" w:name="_Toc153871586"/>
      <w:bookmarkStart w:id="225" w:name="_Toc153871622"/>
      <w:bookmarkStart w:id="226" w:name="_Toc153871865"/>
      <w:bookmarkStart w:id="227" w:name="_Toc153871930"/>
      <w:bookmarkStart w:id="228" w:name="_Toc153891182"/>
      <w:bookmarkStart w:id="229" w:name="_Toc153891289"/>
      <w:bookmarkStart w:id="230" w:name="_Toc153981061"/>
      <w:bookmarkStart w:id="231" w:name="_Toc153981128"/>
      <w:bookmarkStart w:id="232" w:name="_Toc153981158"/>
      <w:bookmarkStart w:id="233" w:name="_Toc153981187"/>
      <w:bookmarkStart w:id="234" w:name="_Toc153981278"/>
      <w:bookmarkStart w:id="235" w:name="_Toc153981307"/>
      <w:bookmarkStart w:id="236" w:name="_Toc153981362"/>
      <w:bookmarkStart w:id="237" w:name="_Toc153981391"/>
      <w:bookmarkStart w:id="238" w:name="_Toc153982117"/>
      <w:bookmarkStart w:id="239" w:name="_Toc154041117"/>
      <w:bookmarkStart w:id="240" w:name="_Toc154049278"/>
      <w:bookmarkStart w:id="241" w:name="_Toc15415826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05ED7A2" w14:textId="77777777" w:rsidR="00E66A98" w:rsidRPr="002E5EB4" w:rsidRDefault="00E66A98" w:rsidP="00E66A98">
      <w:pPr>
        <w:pStyle w:val="Prrafodelista"/>
        <w:numPr>
          <w:ilvl w:val="1"/>
          <w:numId w:val="32"/>
        </w:numPr>
        <w:outlineLvl w:val="2"/>
        <w:rPr>
          <w:rFonts w:cs="Times New Roman"/>
          <w:b/>
          <w:vanish/>
          <w:lang w:val="es-MX"/>
        </w:rPr>
      </w:pPr>
      <w:bookmarkStart w:id="242" w:name="_Toc31612761"/>
      <w:bookmarkStart w:id="243" w:name="_Toc31612793"/>
      <w:bookmarkStart w:id="244" w:name="_Toc31614819"/>
      <w:bookmarkStart w:id="245" w:name="_Toc31614851"/>
      <w:bookmarkStart w:id="246" w:name="_Toc31618688"/>
      <w:bookmarkStart w:id="247" w:name="_Toc31618721"/>
      <w:bookmarkStart w:id="248" w:name="_Toc31624497"/>
      <w:bookmarkStart w:id="249" w:name="_Toc31625349"/>
      <w:bookmarkStart w:id="250" w:name="_Toc31626804"/>
      <w:bookmarkStart w:id="251" w:name="_Toc31811255"/>
      <w:bookmarkStart w:id="252" w:name="_Toc31811700"/>
      <w:bookmarkStart w:id="253" w:name="_Toc31971863"/>
      <w:bookmarkStart w:id="254" w:name="_Toc32230885"/>
      <w:bookmarkStart w:id="255" w:name="_Toc33109784"/>
      <w:bookmarkStart w:id="256" w:name="_Toc33109827"/>
      <w:bookmarkStart w:id="257" w:name="_Toc33180548"/>
      <w:bookmarkStart w:id="258" w:name="_Toc33180642"/>
      <w:bookmarkStart w:id="259" w:name="_Toc33193539"/>
      <w:bookmarkStart w:id="260" w:name="_Toc33193578"/>
      <w:bookmarkStart w:id="261" w:name="_Toc33196775"/>
      <w:bookmarkStart w:id="262" w:name="_Toc40691751"/>
      <w:bookmarkStart w:id="263" w:name="_Toc40959154"/>
      <w:bookmarkStart w:id="264" w:name="_Toc40975988"/>
      <w:bookmarkStart w:id="265" w:name="_Toc40976057"/>
      <w:bookmarkStart w:id="266" w:name="_Toc40993312"/>
      <w:bookmarkStart w:id="267" w:name="_Toc40993694"/>
      <w:bookmarkStart w:id="268" w:name="_Toc41037570"/>
      <w:bookmarkStart w:id="269" w:name="_Toc41254130"/>
      <w:bookmarkStart w:id="270" w:name="_Toc41254162"/>
      <w:bookmarkStart w:id="271" w:name="_Toc41254182"/>
      <w:bookmarkStart w:id="272" w:name="_Toc42023955"/>
      <w:bookmarkStart w:id="273" w:name="_Toc42024008"/>
      <w:bookmarkStart w:id="274" w:name="_Toc42069106"/>
      <w:bookmarkStart w:id="275" w:name="_Toc49422052"/>
      <w:bookmarkStart w:id="276" w:name="_Toc49422078"/>
      <w:bookmarkStart w:id="277" w:name="_Toc49430657"/>
      <w:bookmarkStart w:id="278" w:name="_Toc49430683"/>
      <w:bookmarkStart w:id="279" w:name="_Toc49750460"/>
      <w:bookmarkStart w:id="280" w:name="_Toc49750710"/>
      <w:bookmarkStart w:id="281" w:name="_Toc49750738"/>
      <w:bookmarkStart w:id="282" w:name="_Toc55284824"/>
      <w:bookmarkStart w:id="283" w:name="_Toc55298842"/>
      <w:bookmarkStart w:id="284" w:name="_Toc55373823"/>
      <w:bookmarkStart w:id="285" w:name="_Toc55373996"/>
      <w:bookmarkStart w:id="286" w:name="_Toc55375133"/>
      <w:bookmarkStart w:id="287" w:name="_Toc55396541"/>
      <w:bookmarkStart w:id="288" w:name="_Toc65230537"/>
      <w:bookmarkStart w:id="289" w:name="_Toc65230775"/>
      <w:bookmarkStart w:id="290" w:name="_Toc65232059"/>
      <w:bookmarkStart w:id="291" w:name="_Toc65232304"/>
      <w:bookmarkStart w:id="292" w:name="_Toc66716163"/>
      <w:bookmarkStart w:id="293" w:name="_Toc71097208"/>
      <w:bookmarkStart w:id="294" w:name="_Toc71097239"/>
      <w:bookmarkStart w:id="295" w:name="_Toc71097314"/>
      <w:bookmarkStart w:id="296" w:name="_Toc71108054"/>
      <w:bookmarkStart w:id="297" w:name="_Toc79055248"/>
      <w:bookmarkStart w:id="298" w:name="_Toc79055279"/>
      <w:bookmarkStart w:id="299" w:name="_Toc79060170"/>
      <w:bookmarkStart w:id="300" w:name="_Toc79060457"/>
      <w:bookmarkStart w:id="301" w:name="_Toc81307814"/>
      <w:bookmarkStart w:id="302" w:name="_Toc83376475"/>
      <w:bookmarkStart w:id="303" w:name="_Toc86386714"/>
      <w:bookmarkStart w:id="304" w:name="_Toc86405400"/>
      <w:bookmarkStart w:id="305" w:name="_Toc98162430"/>
      <w:bookmarkStart w:id="306" w:name="_Toc98162462"/>
      <w:bookmarkStart w:id="307" w:name="_Toc98234988"/>
      <w:bookmarkStart w:id="308" w:name="_Toc98235183"/>
      <w:bookmarkStart w:id="309" w:name="_Toc98235268"/>
      <w:bookmarkStart w:id="310" w:name="_Toc98757138"/>
      <w:bookmarkStart w:id="311" w:name="_Toc101874693"/>
      <w:bookmarkStart w:id="312" w:name="_Toc101954149"/>
      <w:bookmarkStart w:id="313" w:name="_Toc101971966"/>
      <w:bookmarkStart w:id="314" w:name="_Toc101974058"/>
      <w:bookmarkStart w:id="315" w:name="_Toc102039743"/>
      <w:bookmarkStart w:id="316" w:name="_Toc102039781"/>
      <w:bookmarkStart w:id="317" w:name="_Toc102039821"/>
      <w:bookmarkStart w:id="318" w:name="_Toc102039852"/>
      <w:bookmarkStart w:id="319" w:name="_Toc102040910"/>
      <w:bookmarkStart w:id="320" w:name="_Toc102477758"/>
      <w:bookmarkStart w:id="321" w:name="_Toc102477789"/>
      <w:bookmarkStart w:id="322" w:name="_Toc109824819"/>
      <w:bookmarkStart w:id="323" w:name="_Toc109828775"/>
      <w:bookmarkStart w:id="324" w:name="_Toc109828838"/>
      <w:bookmarkStart w:id="325" w:name="_Toc109829014"/>
      <w:bookmarkStart w:id="326" w:name="_Toc109829045"/>
      <w:bookmarkStart w:id="327" w:name="_Toc109833889"/>
      <w:bookmarkStart w:id="328" w:name="_Toc110237432"/>
      <w:bookmarkStart w:id="329" w:name="_Toc117775309"/>
      <w:bookmarkStart w:id="330" w:name="_Toc117781278"/>
      <w:bookmarkStart w:id="331" w:name="_Toc125620807"/>
      <w:bookmarkStart w:id="332" w:name="_Toc125620838"/>
      <w:bookmarkStart w:id="333" w:name="_Toc125620869"/>
      <w:bookmarkStart w:id="334" w:name="_Toc125620905"/>
      <w:bookmarkStart w:id="335" w:name="_Toc125620936"/>
      <w:bookmarkStart w:id="336" w:name="_Toc125620969"/>
      <w:bookmarkStart w:id="337" w:name="_Toc125621022"/>
      <w:bookmarkStart w:id="338" w:name="_Toc125621076"/>
      <w:bookmarkStart w:id="339" w:name="_Toc125623554"/>
      <w:bookmarkStart w:id="340" w:name="_Toc125623586"/>
      <w:bookmarkStart w:id="341" w:name="_Toc125623618"/>
      <w:bookmarkStart w:id="342" w:name="_Toc125970364"/>
      <w:bookmarkStart w:id="343" w:name="_Toc125970396"/>
      <w:bookmarkStart w:id="344" w:name="_Toc127365847"/>
      <w:bookmarkStart w:id="345" w:name="_Toc127434599"/>
      <w:bookmarkStart w:id="346" w:name="_Toc127436966"/>
      <w:bookmarkStart w:id="347" w:name="_Toc127437328"/>
      <w:bookmarkStart w:id="348" w:name="_Toc127437681"/>
      <w:bookmarkStart w:id="349" w:name="_Toc135128838"/>
      <w:bookmarkStart w:id="350" w:name="_Toc135128871"/>
      <w:bookmarkStart w:id="351" w:name="_Toc135133711"/>
      <w:bookmarkStart w:id="352" w:name="_Toc135143048"/>
      <w:bookmarkStart w:id="353" w:name="_Toc135819366"/>
      <w:bookmarkStart w:id="354" w:name="_Toc136329483"/>
      <w:bookmarkStart w:id="355" w:name="_Toc136329604"/>
      <w:bookmarkStart w:id="356" w:name="_Toc136611281"/>
      <w:bookmarkStart w:id="357" w:name="_Toc136611326"/>
      <w:bookmarkStart w:id="358" w:name="_Toc136611443"/>
      <w:bookmarkStart w:id="359" w:name="_Toc136611490"/>
      <w:bookmarkStart w:id="360" w:name="_Toc136611578"/>
      <w:bookmarkStart w:id="361" w:name="_Toc139876570"/>
      <w:bookmarkStart w:id="362" w:name="_Toc139876597"/>
      <w:bookmarkStart w:id="363" w:name="_Toc139876847"/>
      <w:bookmarkStart w:id="364" w:name="_Toc139876875"/>
      <w:bookmarkStart w:id="365" w:name="_Toc139876911"/>
      <w:bookmarkStart w:id="366" w:name="_Toc142898567"/>
      <w:bookmarkStart w:id="367" w:name="_Toc143164404"/>
      <w:bookmarkStart w:id="368" w:name="_Toc143164497"/>
      <w:bookmarkStart w:id="369" w:name="_Toc143164525"/>
      <w:bookmarkStart w:id="370" w:name="_Toc143167416"/>
      <w:bookmarkStart w:id="371" w:name="_Toc143170055"/>
      <w:bookmarkStart w:id="372" w:name="_Toc153871587"/>
      <w:bookmarkStart w:id="373" w:name="_Toc153871623"/>
      <w:bookmarkStart w:id="374" w:name="_Toc153871866"/>
      <w:bookmarkStart w:id="375" w:name="_Toc153871931"/>
      <w:bookmarkStart w:id="376" w:name="_Toc153891183"/>
      <w:bookmarkStart w:id="377" w:name="_Toc153891290"/>
      <w:bookmarkStart w:id="378" w:name="_Toc153981062"/>
      <w:bookmarkStart w:id="379" w:name="_Toc153981129"/>
      <w:bookmarkStart w:id="380" w:name="_Toc153981159"/>
      <w:bookmarkStart w:id="381" w:name="_Toc153981188"/>
      <w:bookmarkStart w:id="382" w:name="_Toc153981279"/>
      <w:bookmarkStart w:id="383" w:name="_Toc153981308"/>
      <w:bookmarkStart w:id="384" w:name="_Toc153981363"/>
      <w:bookmarkStart w:id="385" w:name="_Toc153981392"/>
      <w:bookmarkStart w:id="386" w:name="_Toc153982118"/>
      <w:bookmarkStart w:id="387" w:name="_Toc154041118"/>
      <w:bookmarkStart w:id="388" w:name="_Toc154049279"/>
      <w:bookmarkStart w:id="389" w:name="_Toc15415826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1832A88" w14:textId="3707C5DC" w:rsidR="008C0B31" w:rsidRPr="002E5EB4" w:rsidRDefault="008C0B31" w:rsidP="00D66284">
      <w:pPr>
        <w:pStyle w:val="Ttulo1"/>
        <w:numPr>
          <w:ilvl w:val="0"/>
          <w:numId w:val="46"/>
        </w:numPr>
        <w:rPr>
          <w:lang w:val="es-ES_tradnl" w:eastAsia="es-ES"/>
        </w:rPr>
      </w:pPr>
      <w:bookmarkStart w:id="390" w:name="_Toc154158267"/>
      <w:r w:rsidRPr="002E5EB4">
        <w:rPr>
          <w:lang w:val="es-ES_tradnl" w:eastAsia="es-ES"/>
        </w:rPr>
        <w:t>Gasto Público</w:t>
      </w:r>
      <w:bookmarkEnd w:id="390"/>
    </w:p>
    <w:p w14:paraId="02025EE4" w14:textId="0A54CB09" w:rsidR="00770433" w:rsidRPr="002E5EB4" w:rsidRDefault="00770433" w:rsidP="00770433">
      <w:pPr>
        <w:pStyle w:val="Prrafodelista"/>
        <w:keepNext/>
        <w:keepLines/>
        <w:numPr>
          <w:ilvl w:val="0"/>
          <w:numId w:val="12"/>
        </w:numPr>
        <w:spacing w:before="200"/>
        <w:contextualSpacing w:val="0"/>
        <w:outlineLvl w:val="1"/>
        <w:rPr>
          <w:rFonts w:eastAsiaTheme="majorEastAsia" w:cs="Times New Roman"/>
          <w:b/>
          <w:bCs/>
          <w:vanish/>
          <w:sz w:val="24"/>
          <w:szCs w:val="26"/>
          <w:lang w:val="es-ES_tradnl" w:eastAsia="es-ES"/>
        </w:rPr>
      </w:pPr>
      <w:bookmarkStart w:id="391" w:name="_Toc471986932"/>
      <w:bookmarkStart w:id="392" w:name="_Toc471987067"/>
      <w:bookmarkStart w:id="393" w:name="_Toc471987115"/>
      <w:bookmarkStart w:id="394" w:name="_Toc471987137"/>
      <w:bookmarkStart w:id="395" w:name="_Toc472082165"/>
      <w:bookmarkStart w:id="396" w:name="_Toc472082197"/>
      <w:bookmarkStart w:id="397" w:name="_Toc472089913"/>
      <w:bookmarkStart w:id="398" w:name="_Toc472089936"/>
      <w:bookmarkStart w:id="399" w:name="_Toc505346063"/>
      <w:bookmarkStart w:id="400" w:name="_Toc505349878"/>
      <w:bookmarkStart w:id="401" w:name="_Toc534985836"/>
      <w:bookmarkStart w:id="402" w:name="_Toc534988229"/>
      <w:bookmarkStart w:id="403" w:name="_Toc31611549"/>
      <w:bookmarkStart w:id="404" w:name="_Toc31612768"/>
      <w:bookmarkStart w:id="405" w:name="_Toc31612800"/>
      <w:bookmarkStart w:id="406" w:name="_Toc31614826"/>
      <w:bookmarkStart w:id="407" w:name="_Toc31614858"/>
      <w:bookmarkStart w:id="408" w:name="_Toc31618695"/>
      <w:bookmarkStart w:id="409" w:name="_Toc31618728"/>
      <w:bookmarkStart w:id="410" w:name="_Toc31624504"/>
      <w:bookmarkStart w:id="411" w:name="_Toc31625356"/>
      <w:bookmarkStart w:id="412" w:name="_Toc31626811"/>
      <w:bookmarkStart w:id="413" w:name="_Toc31811262"/>
      <w:bookmarkStart w:id="414" w:name="_Toc31811707"/>
      <w:bookmarkStart w:id="415" w:name="_Toc31971870"/>
      <w:bookmarkStart w:id="416" w:name="_Toc32230892"/>
      <w:bookmarkStart w:id="417" w:name="_Toc33109788"/>
      <w:bookmarkStart w:id="418" w:name="_Toc33109831"/>
      <w:bookmarkStart w:id="419" w:name="_Toc33180552"/>
      <w:bookmarkStart w:id="420" w:name="_Toc33180646"/>
      <w:bookmarkStart w:id="421" w:name="_Toc33193543"/>
      <w:bookmarkStart w:id="422" w:name="_Toc33193582"/>
      <w:bookmarkStart w:id="423" w:name="_Toc33196779"/>
      <w:bookmarkStart w:id="424" w:name="_Toc40691755"/>
      <w:bookmarkStart w:id="425" w:name="_Toc40959156"/>
      <w:bookmarkStart w:id="426" w:name="_Toc40975990"/>
      <w:bookmarkStart w:id="427" w:name="_Toc40976059"/>
      <w:bookmarkStart w:id="428" w:name="_Toc40993314"/>
      <w:bookmarkStart w:id="429" w:name="_Toc40993696"/>
      <w:bookmarkStart w:id="430" w:name="_Toc41037572"/>
      <w:bookmarkStart w:id="431" w:name="_Toc41254132"/>
      <w:bookmarkStart w:id="432" w:name="_Toc41254164"/>
      <w:bookmarkStart w:id="433" w:name="_Toc41254184"/>
      <w:bookmarkStart w:id="434" w:name="_Toc42023958"/>
      <w:bookmarkStart w:id="435" w:name="_Toc42024010"/>
      <w:bookmarkStart w:id="436" w:name="_Toc42069108"/>
      <w:bookmarkStart w:id="437" w:name="_Toc49422054"/>
      <w:bookmarkStart w:id="438" w:name="_Toc49422080"/>
      <w:bookmarkStart w:id="439" w:name="_Toc49430659"/>
      <w:bookmarkStart w:id="440" w:name="_Toc49430685"/>
      <w:bookmarkStart w:id="441" w:name="_Toc49750462"/>
      <w:bookmarkStart w:id="442" w:name="_Toc49750712"/>
      <w:bookmarkStart w:id="443" w:name="_Toc49750740"/>
      <w:bookmarkStart w:id="444" w:name="_Toc55284826"/>
      <w:bookmarkStart w:id="445" w:name="_Toc55298844"/>
      <w:bookmarkStart w:id="446" w:name="_Toc55373825"/>
      <w:bookmarkStart w:id="447" w:name="_Toc55373998"/>
      <w:bookmarkStart w:id="448" w:name="_Toc55375135"/>
      <w:bookmarkStart w:id="449" w:name="_Toc55396543"/>
      <w:bookmarkStart w:id="450" w:name="_Toc65230539"/>
      <w:bookmarkStart w:id="451" w:name="_Toc65230777"/>
      <w:bookmarkStart w:id="452" w:name="_Toc65232061"/>
      <w:bookmarkStart w:id="453" w:name="_Toc65232306"/>
      <w:bookmarkStart w:id="454" w:name="_Toc66716165"/>
      <w:bookmarkStart w:id="455" w:name="_Toc71097210"/>
      <w:bookmarkStart w:id="456" w:name="_Toc71097241"/>
      <w:bookmarkStart w:id="457" w:name="_Toc71097316"/>
      <w:bookmarkStart w:id="458" w:name="_Toc71108056"/>
      <w:bookmarkStart w:id="459" w:name="_Toc79055250"/>
      <w:bookmarkStart w:id="460" w:name="_Toc79055281"/>
      <w:bookmarkStart w:id="461" w:name="_Toc79060172"/>
      <w:bookmarkStart w:id="462" w:name="_Toc79060459"/>
      <w:bookmarkStart w:id="463" w:name="_Toc81307816"/>
      <w:bookmarkStart w:id="464" w:name="_Toc83376477"/>
      <w:bookmarkStart w:id="465" w:name="_Toc86386716"/>
      <w:bookmarkStart w:id="466" w:name="_Toc86405402"/>
      <w:bookmarkStart w:id="467" w:name="_Toc98162432"/>
      <w:bookmarkStart w:id="468" w:name="_Toc98162464"/>
      <w:bookmarkStart w:id="469" w:name="_Toc98234990"/>
      <w:bookmarkStart w:id="470" w:name="_Toc98235185"/>
      <w:bookmarkStart w:id="471" w:name="_Toc98235270"/>
      <w:bookmarkStart w:id="472" w:name="_Toc98757140"/>
      <w:bookmarkStart w:id="473" w:name="_Toc101874695"/>
      <w:bookmarkStart w:id="474" w:name="_Toc101954151"/>
      <w:bookmarkStart w:id="475" w:name="_Toc101971968"/>
      <w:bookmarkStart w:id="476" w:name="_Toc101974060"/>
      <w:bookmarkStart w:id="477" w:name="_Toc102039745"/>
      <w:bookmarkStart w:id="478" w:name="_Toc102039783"/>
      <w:bookmarkStart w:id="479" w:name="_Toc102039823"/>
      <w:bookmarkStart w:id="480" w:name="_Toc102039854"/>
      <w:bookmarkStart w:id="481" w:name="_Toc102040912"/>
      <w:bookmarkStart w:id="482" w:name="_Toc102477760"/>
      <w:bookmarkStart w:id="483" w:name="_Toc102477791"/>
      <w:bookmarkStart w:id="484" w:name="_Toc109824821"/>
      <w:bookmarkStart w:id="485" w:name="_Toc109828777"/>
      <w:bookmarkStart w:id="486" w:name="_Toc109828840"/>
      <w:bookmarkStart w:id="487" w:name="_Toc109829016"/>
      <w:bookmarkStart w:id="488" w:name="_Toc109829047"/>
      <w:bookmarkStart w:id="489" w:name="_Toc109833891"/>
      <w:bookmarkStart w:id="490" w:name="_Toc110237434"/>
      <w:bookmarkStart w:id="491" w:name="_Toc117775311"/>
      <w:bookmarkStart w:id="492" w:name="_Toc117781280"/>
      <w:bookmarkStart w:id="493" w:name="_Toc125620809"/>
      <w:bookmarkStart w:id="494" w:name="_Toc125620840"/>
      <w:bookmarkStart w:id="495" w:name="_Toc125620871"/>
      <w:bookmarkStart w:id="496" w:name="_Toc125620907"/>
      <w:bookmarkStart w:id="497" w:name="_Toc125620938"/>
      <w:bookmarkStart w:id="498" w:name="_Toc125620971"/>
      <w:bookmarkStart w:id="499" w:name="_Toc125621024"/>
      <w:bookmarkStart w:id="500" w:name="_Toc125621078"/>
      <w:bookmarkStart w:id="501" w:name="_Toc125623556"/>
      <w:bookmarkStart w:id="502" w:name="_Toc125623588"/>
      <w:bookmarkStart w:id="503" w:name="_Toc125623620"/>
      <w:bookmarkStart w:id="504" w:name="_Toc125970366"/>
      <w:bookmarkStart w:id="505" w:name="_Toc125970398"/>
      <w:bookmarkStart w:id="506" w:name="_Toc127365849"/>
      <w:bookmarkStart w:id="507" w:name="_Toc127434601"/>
      <w:bookmarkStart w:id="508" w:name="_Toc127436968"/>
      <w:bookmarkStart w:id="509" w:name="_Toc127437330"/>
      <w:bookmarkStart w:id="510" w:name="_Toc127437683"/>
      <w:bookmarkStart w:id="511" w:name="_Toc135128840"/>
      <w:bookmarkStart w:id="512" w:name="_Toc135128873"/>
      <w:bookmarkStart w:id="513" w:name="_Toc135133713"/>
      <w:bookmarkStart w:id="514" w:name="_Toc135143050"/>
      <w:bookmarkStart w:id="515" w:name="_Toc135819368"/>
      <w:bookmarkStart w:id="516" w:name="_Toc136329485"/>
      <w:bookmarkStart w:id="517" w:name="_Toc136329606"/>
      <w:bookmarkStart w:id="518" w:name="_Toc136611283"/>
      <w:bookmarkStart w:id="519" w:name="_Toc136611328"/>
      <w:bookmarkStart w:id="520" w:name="_Toc136611445"/>
      <w:bookmarkStart w:id="521" w:name="_Toc136611492"/>
      <w:bookmarkStart w:id="522" w:name="_Toc136611580"/>
      <w:bookmarkStart w:id="523" w:name="_Toc139876572"/>
      <w:bookmarkStart w:id="524" w:name="_Toc139876599"/>
      <w:bookmarkStart w:id="525" w:name="_Toc139876849"/>
      <w:bookmarkStart w:id="526" w:name="_Toc139876877"/>
      <w:bookmarkStart w:id="527" w:name="_Toc139876913"/>
      <w:bookmarkStart w:id="528" w:name="_Toc142898569"/>
      <w:bookmarkStart w:id="529" w:name="_Toc143164406"/>
      <w:bookmarkStart w:id="530" w:name="_Toc143164499"/>
      <w:bookmarkStart w:id="531" w:name="_Toc143164527"/>
      <w:bookmarkStart w:id="532" w:name="_Toc143167418"/>
      <w:bookmarkStart w:id="533" w:name="_Toc143170057"/>
      <w:bookmarkStart w:id="534" w:name="_Toc153871589"/>
      <w:bookmarkStart w:id="535" w:name="_Toc153871625"/>
      <w:bookmarkStart w:id="536" w:name="_Toc153871868"/>
      <w:bookmarkStart w:id="537" w:name="_Toc153871933"/>
      <w:bookmarkStart w:id="538" w:name="_Toc153891185"/>
      <w:bookmarkStart w:id="539" w:name="_Toc153891292"/>
      <w:bookmarkStart w:id="540" w:name="_Toc153981064"/>
      <w:bookmarkStart w:id="541" w:name="_Toc153981131"/>
      <w:bookmarkStart w:id="542" w:name="_Toc153981161"/>
      <w:bookmarkStart w:id="543" w:name="_Toc153981190"/>
      <w:bookmarkStart w:id="544" w:name="_Toc153981281"/>
      <w:bookmarkStart w:id="545" w:name="_Toc153981310"/>
      <w:bookmarkStart w:id="546" w:name="_Toc153981365"/>
      <w:bookmarkStart w:id="547" w:name="_Toc153981394"/>
      <w:bookmarkStart w:id="548" w:name="_Toc153982120"/>
      <w:bookmarkStart w:id="549" w:name="_Toc154041120"/>
      <w:bookmarkStart w:id="550" w:name="_Toc154049281"/>
      <w:bookmarkStart w:id="551" w:name="_Toc15415826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FFEEFA0" w14:textId="77777777" w:rsidR="00770433" w:rsidRPr="002E5EB4" w:rsidRDefault="00770433" w:rsidP="00770433">
      <w:pPr>
        <w:pStyle w:val="Prrafodelista"/>
        <w:keepNext/>
        <w:keepLines/>
        <w:numPr>
          <w:ilvl w:val="0"/>
          <w:numId w:val="12"/>
        </w:numPr>
        <w:spacing w:before="200"/>
        <w:contextualSpacing w:val="0"/>
        <w:outlineLvl w:val="1"/>
        <w:rPr>
          <w:rFonts w:eastAsiaTheme="majorEastAsia" w:cs="Times New Roman"/>
          <w:b/>
          <w:bCs/>
          <w:vanish/>
          <w:sz w:val="24"/>
          <w:szCs w:val="26"/>
          <w:lang w:val="es-ES_tradnl" w:eastAsia="es-ES"/>
        </w:rPr>
      </w:pPr>
      <w:bookmarkStart w:id="552" w:name="_Toc472082166"/>
      <w:bookmarkStart w:id="553" w:name="_Toc472082198"/>
      <w:bookmarkStart w:id="554" w:name="_Toc472089914"/>
      <w:bookmarkStart w:id="555" w:name="_Toc472089937"/>
      <w:bookmarkStart w:id="556" w:name="_Toc505346064"/>
      <w:bookmarkStart w:id="557" w:name="_Toc505349879"/>
      <w:bookmarkStart w:id="558" w:name="_Toc534985837"/>
      <w:bookmarkStart w:id="559" w:name="_Toc534988230"/>
      <w:bookmarkStart w:id="560" w:name="_Toc31611550"/>
      <w:bookmarkStart w:id="561" w:name="_Toc31612769"/>
      <w:bookmarkStart w:id="562" w:name="_Toc31612801"/>
      <w:bookmarkStart w:id="563" w:name="_Toc31614827"/>
      <w:bookmarkStart w:id="564" w:name="_Toc31614859"/>
      <w:bookmarkStart w:id="565" w:name="_Toc31618696"/>
      <w:bookmarkStart w:id="566" w:name="_Toc31618729"/>
      <w:bookmarkStart w:id="567" w:name="_Toc31624505"/>
      <w:bookmarkStart w:id="568" w:name="_Toc31625357"/>
      <w:bookmarkStart w:id="569" w:name="_Toc31626812"/>
      <w:bookmarkStart w:id="570" w:name="_Toc31811263"/>
      <w:bookmarkStart w:id="571" w:name="_Toc31811708"/>
      <w:bookmarkStart w:id="572" w:name="_Toc31971871"/>
      <w:bookmarkStart w:id="573" w:name="_Toc32230893"/>
      <w:bookmarkStart w:id="574" w:name="_Toc33109789"/>
      <w:bookmarkStart w:id="575" w:name="_Toc33109832"/>
      <w:bookmarkStart w:id="576" w:name="_Toc33180553"/>
      <w:bookmarkStart w:id="577" w:name="_Toc33180647"/>
      <w:bookmarkStart w:id="578" w:name="_Toc33193544"/>
      <w:bookmarkStart w:id="579" w:name="_Toc33193583"/>
      <w:bookmarkStart w:id="580" w:name="_Toc33196780"/>
      <w:bookmarkStart w:id="581" w:name="_Toc40691756"/>
      <w:bookmarkStart w:id="582" w:name="_Toc40959157"/>
      <w:bookmarkStart w:id="583" w:name="_Toc40975991"/>
      <w:bookmarkStart w:id="584" w:name="_Toc40976060"/>
      <w:bookmarkStart w:id="585" w:name="_Toc40993315"/>
      <w:bookmarkStart w:id="586" w:name="_Toc40993697"/>
      <w:bookmarkStart w:id="587" w:name="_Toc41037573"/>
      <w:bookmarkStart w:id="588" w:name="_Toc41254133"/>
      <w:bookmarkStart w:id="589" w:name="_Toc41254165"/>
      <w:bookmarkStart w:id="590" w:name="_Toc41254185"/>
      <w:bookmarkStart w:id="591" w:name="_Toc42023959"/>
      <w:bookmarkStart w:id="592" w:name="_Toc42024011"/>
      <w:bookmarkStart w:id="593" w:name="_Toc42069109"/>
      <w:bookmarkStart w:id="594" w:name="_Toc49422055"/>
      <w:bookmarkStart w:id="595" w:name="_Toc49422081"/>
      <w:bookmarkStart w:id="596" w:name="_Toc49430660"/>
      <w:bookmarkStart w:id="597" w:name="_Toc49430686"/>
      <w:bookmarkStart w:id="598" w:name="_Toc49750463"/>
      <w:bookmarkStart w:id="599" w:name="_Toc49750713"/>
      <w:bookmarkStart w:id="600" w:name="_Toc49750741"/>
      <w:bookmarkStart w:id="601" w:name="_Toc55284827"/>
      <w:bookmarkStart w:id="602" w:name="_Toc55298845"/>
      <w:bookmarkStart w:id="603" w:name="_Toc55373826"/>
      <w:bookmarkStart w:id="604" w:name="_Toc55373999"/>
      <w:bookmarkStart w:id="605" w:name="_Toc55375136"/>
      <w:bookmarkStart w:id="606" w:name="_Toc55396544"/>
      <w:bookmarkStart w:id="607" w:name="_Toc65230540"/>
      <w:bookmarkStart w:id="608" w:name="_Toc65230778"/>
      <w:bookmarkStart w:id="609" w:name="_Toc65232062"/>
      <w:bookmarkStart w:id="610" w:name="_Toc65232307"/>
      <w:bookmarkStart w:id="611" w:name="_Toc66716166"/>
      <w:bookmarkStart w:id="612" w:name="_Toc71097211"/>
      <w:bookmarkStart w:id="613" w:name="_Toc71097242"/>
      <w:bookmarkStart w:id="614" w:name="_Toc71097317"/>
      <w:bookmarkStart w:id="615" w:name="_Toc71108057"/>
      <w:bookmarkStart w:id="616" w:name="_Toc79055251"/>
      <w:bookmarkStart w:id="617" w:name="_Toc79055282"/>
      <w:bookmarkStart w:id="618" w:name="_Toc79060173"/>
      <w:bookmarkStart w:id="619" w:name="_Toc79060460"/>
      <w:bookmarkStart w:id="620" w:name="_Toc81307817"/>
      <w:bookmarkStart w:id="621" w:name="_Toc83376478"/>
      <w:bookmarkStart w:id="622" w:name="_Toc86386717"/>
      <w:bookmarkStart w:id="623" w:name="_Toc86405403"/>
      <w:bookmarkStart w:id="624" w:name="_Toc98162433"/>
      <w:bookmarkStart w:id="625" w:name="_Toc98162465"/>
      <w:bookmarkStart w:id="626" w:name="_Toc98234991"/>
      <w:bookmarkStart w:id="627" w:name="_Toc98235186"/>
      <w:bookmarkStart w:id="628" w:name="_Toc98235271"/>
      <w:bookmarkStart w:id="629" w:name="_Toc98757141"/>
      <w:bookmarkStart w:id="630" w:name="_Toc101874696"/>
      <w:bookmarkStart w:id="631" w:name="_Toc101954152"/>
      <w:bookmarkStart w:id="632" w:name="_Toc101971969"/>
      <w:bookmarkStart w:id="633" w:name="_Toc101974061"/>
      <w:bookmarkStart w:id="634" w:name="_Toc102039746"/>
      <w:bookmarkStart w:id="635" w:name="_Toc102039784"/>
      <w:bookmarkStart w:id="636" w:name="_Toc102039824"/>
      <w:bookmarkStart w:id="637" w:name="_Toc102039855"/>
      <w:bookmarkStart w:id="638" w:name="_Toc102040913"/>
      <w:bookmarkStart w:id="639" w:name="_Toc102477761"/>
      <w:bookmarkStart w:id="640" w:name="_Toc102477792"/>
      <w:bookmarkStart w:id="641" w:name="_Toc109824822"/>
      <w:bookmarkStart w:id="642" w:name="_Toc109828778"/>
      <w:bookmarkStart w:id="643" w:name="_Toc109828841"/>
      <w:bookmarkStart w:id="644" w:name="_Toc109829017"/>
      <w:bookmarkStart w:id="645" w:name="_Toc109829048"/>
      <w:bookmarkStart w:id="646" w:name="_Toc109833892"/>
      <w:bookmarkStart w:id="647" w:name="_Toc110237435"/>
      <w:bookmarkStart w:id="648" w:name="_Toc117775312"/>
      <w:bookmarkStart w:id="649" w:name="_Toc117781281"/>
      <w:bookmarkStart w:id="650" w:name="_Toc125620810"/>
      <w:bookmarkStart w:id="651" w:name="_Toc125620841"/>
      <w:bookmarkStart w:id="652" w:name="_Toc125620872"/>
      <w:bookmarkStart w:id="653" w:name="_Toc125620908"/>
      <w:bookmarkStart w:id="654" w:name="_Toc125620939"/>
      <w:bookmarkStart w:id="655" w:name="_Toc125620972"/>
      <w:bookmarkStart w:id="656" w:name="_Toc125621025"/>
      <w:bookmarkStart w:id="657" w:name="_Toc125621079"/>
      <w:bookmarkStart w:id="658" w:name="_Toc125623557"/>
      <w:bookmarkStart w:id="659" w:name="_Toc125623589"/>
      <w:bookmarkStart w:id="660" w:name="_Toc125623621"/>
      <w:bookmarkStart w:id="661" w:name="_Toc125970367"/>
      <w:bookmarkStart w:id="662" w:name="_Toc125970399"/>
      <w:bookmarkStart w:id="663" w:name="_Toc127365850"/>
      <w:bookmarkStart w:id="664" w:name="_Toc127434602"/>
      <w:bookmarkStart w:id="665" w:name="_Toc127436969"/>
      <w:bookmarkStart w:id="666" w:name="_Toc127437331"/>
      <w:bookmarkStart w:id="667" w:name="_Toc127437684"/>
      <w:bookmarkStart w:id="668" w:name="_Toc135128841"/>
      <w:bookmarkStart w:id="669" w:name="_Toc135128874"/>
      <w:bookmarkStart w:id="670" w:name="_Toc135133714"/>
      <w:bookmarkStart w:id="671" w:name="_Toc135143051"/>
      <w:bookmarkStart w:id="672" w:name="_Toc135819369"/>
      <w:bookmarkStart w:id="673" w:name="_Toc136329486"/>
      <w:bookmarkStart w:id="674" w:name="_Toc136329607"/>
      <w:bookmarkStart w:id="675" w:name="_Toc136611284"/>
      <w:bookmarkStart w:id="676" w:name="_Toc136611329"/>
      <w:bookmarkStart w:id="677" w:name="_Toc136611446"/>
      <w:bookmarkStart w:id="678" w:name="_Toc136611493"/>
      <w:bookmarkStart w:id="679" w:name="_Toc136611581"/>
      <w:bookmarkStart w:id="680" w:name="_Toc139876573"/>
      <w:bookmarkStart w:id="681" w:name="_Toc139876600"/>
      <w:bookmarkStart w:id="682" w:name="_Toc139876850"/>
      <w:bookmarkStart w:id="683" w:name="_Toc139876878"/>
      <w:bookmarkStart w:id="684" w:name="_Toc139876914"/>
      <w:bookmarkStart w:id="685" w:name="_Toc142898570"/>
      <w:bookmarkStart w:id="686" w:name="_Toc143164407"/>
      <w:bookmarkStart w:id="687" w:name="_Toc143164500"/>
      <w:bookmarkStart w:id="688" w:name="_Toc143164528"/>
      <w:bookmarkStart w:id="689" w:name="_Toc143167419"/>
      <w:bookmarkStart w:id="690" w:name="_Toc143170058"/>
      <w:bookmarkStart w:id="691" w:name="_Toc153871590"/>
      <w:bookmarkStart w:id="692" w:name="_Toc153871626"/>
      <w:bookmarkStart w:id="693" w:name="_Toc153871869"/>
      <w:bookmarkStart w:id="694" w:name="_Toc153871934"/>
      <w:bookmarkStart w:id="695" w:name="_Toc153891186"/>
      <w:bookmarkStart w:id="696" w:name="_Toc153891293"/>
      <w:bookmarkStart w:id="697" w:name="_Toc153981065"/>
      <w:bookmarkStart w:id="698" w:name="_Toc153981132"/>
      <w:bookmarkStart w:id="699" w:name="_Toc153981162"/>
      <w:bookmarkStart w:id="700" w:name="_Toc153981191"/>
      <w:bookmarkStart w:id="701" w:name="_Toc153981282"/>
      <w:bookmarkStart w:id="702" w:name="_Toc153981311"/>
      <w:bookmarkStart w:id="703" w:name="_Toc153981366"/>
      <w:bookmarkStart w:id="704" w:name="_Toc153981395"/>
      <w:bookmarkStart w:id="705" w:name="_Toc153982121"/>
      <w:bookmarkStart w:id="706" w:name="_Toc154041121"/>
      <w:bookmarkStart w:id="707" w:name="_Toc154049282"/>
      <w:bookmarkStart w:id="708" w:name="_Toc154158269"/>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0F095CD4" w14:textId="77777777" w:rsidR="005E3A61" w:rsidRPr="002E5EB4" w:rsidRDefault="005E3A61" w:rsidP="005E3A61">
      <w:pPr>
        <w:pStyle w:val="Prrafodelista"/>
        <w:keepNext/>
        <w:keepLines/>
        <w:numPr>
          <w:ilvl w:val="0"/>
          <w:numId w:val="11"/>
        </w:numPr>
        <w:tabs>
          <w:tab w:val="left" w:pos="426"/>
        </w:tabs>
        <w:contextualSpacing w:val="0"/>
        <w:outlineLvl w:val="1"/>
        <w:rPr>
          <w:rFonts w:eastAsiaTheme="majorEastAsia" w:cs="Times New Roman"/>
          <w:b/>
          <w:bCs/>
          <w:vanish/>
          <w:sz w:val="24"/>
          <w:szCs w:val="26"/>
          <w:lang w:eastAsia="es-ES"/>
        </w:rPr>
      </w:pPr>
      <w:bookmarkStart w:id="709" w:name="_Toc127437685"/>
      <w:bookmarkStart w:id="710" w:name="_Toc135128842"/>
      <w:bookmarkStart w:id="711" w:name="_Toc135128875"/>
      <w:bookmarkStart w:id="712" w:name="_Toc135133715"/>
      <w:bookmarkStart w:id="713" w:name="_Toc135143052"/>
      <w:bookmarkStart w:id="714" w:name="_Toc135819370"/>
      <w:bookmarkStart w:id="715" w:name="_Toc136329487"/>
      <w:bookmarkStart w:id="716" w:name="_Toc136329608"/>
      <w:bookmarkStart w:id="717" w:name="_Toc136611285"/>
      <w:bookmarkStart w:id="718" w:name="_Toc136611330"/>
      <w:bookmarkStart w:id="719" w:name="_Toc136611447"/>
      <w:bookmarkStart w:id="720" w:name="_Toc136611494"/>
      <w:bookmarkStart w:id="721" w:name="_Toc136611582"/>
      <w:bookmarkStart w:id="722" w:name="_Toc139876574"/>
      <w:bookmarkStart w:id="723" w:name="_Toc139876601"/>
      <w:bookmarkStart w:id="724" w:name="_Toc139876851"/>
      <w:bookmarkStart w:id="725" w:name="_Toc139876879"/>
      <w:bookmarkStart w:id="726" w:name="_Toc139876915"/>
      <w:bookmarkStart w:id="727" w:name="_Toc142898571"/>
      <w:bookmarkStart w:id="728" w:name="_Toc143164408"/>
      <w:bookmarkStart w:id="729" w:name="_Toc143164501"/>
      <w:bookmarkStart w:id="730" w:name="_Toc143164529"/>
      <w:bookmarkStart w:id="731" w:name="_Toc143167420"/>
      <w:bookmarkStart w:id="732" w:name="_Toc143170059"/>
      <w:bookmarkStart w:id="733" w:name="_Toc153871591"/>
      <w:bookmarkStart w:id="734" w:name="_Toc153871627"/>
      <w:bookmarkStart w:id="735" w:name="_Toc153871870"/>
      <w:bookmarkStart w:id="736" w:name="_Toc153871935"/>
      <w:bookmarkStart w:id="737" w:name="_Toc153891187"/>
      <w:bookmarkStart w:id="738" w:name="_Toc153891294"/>
      <w:bookmarkStart w:id="739" w:name="_Toc153981066"/>
      <w:bookmarkStart w:id="740" w:name="_Toc153981133"/>
      <w:bookmarkStart w:id="741" w:name="_Toc153981163"/>
      <w:bookmarkStart w:id="742" w:name="_Toc153981192"/>
      <w:bookmarkStart w:id="743" w:name="_Toc153981283"/>
      <w:bookmarkStart w:id="744" w:name="_Toc153981312"/>
      <w:bookmarkStart w:id="745" w:name="_Toc153981367"/>
      <w:bookmarkStart w:id="746" w:name="_Toc153981396"/>
      <w:bookmarkStart w:id="747" w:name="_Toc153982122"/>
      <w:bookmarkStart w:id="748" w:name="_Toc154041122"/>
      <w:bookmarkStart w:id="749" w:name="_Toc154049283"/>
      <w:bookmarkStart w:id="750" w:name="_Toc125970400"/>
      <w:bookmarkStart w:id="751" w:name="_Toc154158270"/>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1"/>
    </w:p>
    <w:p w14:paraId="44FA4352" w14:textId="010DE763" w:rsidR="008F703E" w:rsidRPr="002E5EB4" w:rsidRDefault="00DD4896" w:rsidP="005E3A61">
      <w:pPr>
        <w:pStyle w:val="Ttulo2"/>
        <w:numPr>
          <w:ilvl w:val="1"/>
          <w:numId w:val="11"/>
        </w:numPr>
        <w:tabs>
          <w:tab w:val="left" w:pos="426"/>
        </w:tabs>
        <w:spacing w:before="0"/>
        <w:rPr>
          <w:rFonts w:cs="Times New Roman"/>
          <w:sz w:val="22"/>
          <w:szCs w:val="22"/>
        </w:rPr>
      </w:pPr>
      <w:bookmarkStart w:id="752" w:name="_Toc154158271"/>
      <w:r w:rsidRPr="002E5EB4">
        <w:rPr>
          <w:rFonts w:cs="Times New Roman"/>
          <w:sz w:val="22"/>
          <w:szCs w:val="22"/>
        </w:rPr>
        <w:t>El gasto</w:t>
      </w:r>
      <w:bookmarkEnd w:id="750"/>
      <w:r w:rsidR="005022F8" w:rsidRPr="002E5EB4">
        <w:rPr>
          <w:rFonts w:cs="Times New Roman"/>
          <w:sz w:val="22"/>
          <w:szCs w:val="22"/>
        </w:rPr>
        <w:t xml:space="preserve"> </w:t>
      </w:r>
      <w:r w:rsidRPr="002E5EB4">
        <w:rPr>
          <w:rFonts w:cs="Times New Roman"/>
          <w:sz w:val="22"/>
          <w:szCs w:val="22"/>
        </w:rPr>
        <w:t>con menor dinamismo</w:t>
      </w:r>
      <w:bookmarkEnd w:id="752"/>
    </w:p>
    <w:p w14:paraId="24084180" w14:textId="5CD9F7AA" w:rsidR="00F2787A" w:rsidRPr="002E5EB4" w:rsidRDefault="004A6E54" w:rsidP="00B67B8F">
      <w:r w:rsidRPr="002E5EB4">
        <w:rPr>
          <w:rFonts w:eastAsiaTheme="majorEastAsia"/>
          <w:noProof/>
          <w:lang w:eastAsia="es-GT"/>
        </w:rPr>
        <w:drawing>
          <wp:anchor distT="0" distB="0" distL="114300" distR="114300" simplePos="0" relativeHeight="251658246" behindDoc="0" locked="0" layoutInCell="1" allowOverlap="1" wp14:anchorId="1F3CC1E1" wp14:editId="526B958F">
            <wp:simplePos x="0" y="0"/>
            <wp:positionH relativeFrom="margin">
              <wp:posOffset>3018155</wp:posOffset>
            </wp:positionH>
            <wp:positionV relativeFrom="paragraph">
              <wp:posOffset>108585</wp:posOffset>
            </wp:positionV>
            <wp:extent cx="2924810" cy="741045"/>
            <wp:effectExtent l="57150" t="38100" r="123190" b="97155"/>
            <wp:wrapSquare wrapText="bothSides"/>
            <wp:docPr id="819797958" name="Diagrama 8197979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4737F1" w:rsidRPr="002E5EB4">
        <w:rPr>
          <w:rFonts w:cs="Times New Roman"/>
          <w:noProof/>
          <w:lang w:eastAsia="es-GT"/>
        </w:rPr>
        <w:drawing>
          <wp:anchor distT="0" distB="0" distL="114300" distR="114300" simplePos="0" relativeHeight="251658250" behindDoc="0" locked="0" layoutInCell="1" allowOverlap="1" wp14:anchorId="2B423354" wp14:editId="248228D1">
            <wp:simplePos x="0" y="0"/>
            <wp:positionH relativeFrom="margin">
              <wp:posOffset>-30480</wp:posOffset>
            </wp:positionH>
            <wp:positionV relativeFrom="paragraph">
              <wp:posOffset>1135380</wp:posOffset>
            </wp:positionV>
            <wp:extent cx="5973445" cy="1941830"/>
            <wp:effectExtent l="0" t="0" r="8255" b="1270"/>
            <wp:wrapSquare wrapText="bothSides"/>
            <wp:docPr id="484609782" name="Gráfico 484609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262FAF" w:rsidRPr="002E5EB4">
        <w:t>E</w:t>
      </w:r>
      <w:r w:rsidR="00D44361" w:rsidRPr="002E5EB4">
        <w:t xml:space="preserve">l </w:t>
      </w:r>
      <w:r w:rsidR="00E81895" w:rsidRPr="002E5EB4">
        <w:t>gasto del gobierno general</w:t>
      </w:r>
      <w:r w:rsidR="00D44361" w:rsidRPr="002E5EB4">
        <w:t xml:space="preserve"> al finalizar el tercer trimestre se sitúa en </w:t>
      </w:r>
      <w:r w:rsidR="00FF44DB" w:rsidRPr="002E5EB4">
        <w:t>Q</w:t>
      </w:r>
      <w:r w:rsidR="00D83C2F" w:rsidRPr="002E5EB4">
        <w:t>87,647.2</w:t>
      </w:r>
      <w:r w:rsidR="00311B57" w:rsidRPr="002E5EB4">
        <w:t xml:space="preserve"> </w:t>
      </w:r>
      <w:r w:rsidR="00FF44DB" w:rsidRPr="002E5EB4">
        <w:t>millones</w:t>
      </w:r>
      <w:r w:rsidR="004F4E85" w:rsidRPr="002E5EB4">
        <w:t>,</w:t>
      </w:r>
      <w:r w:rsidR="00C06BAA" w:rsidRPr="002E5EB4">
        <w:t xml:space="preserve"> </w:t>
      </w:r>
      <w:r w:rsidR="00311B57" w:rsidRPr="002E5EB4">
        <w:t xml:space="preserve">mostrando </w:t>
      </w:r>
      <w:r w:rsidR="00D83C2F" w:rsidRPr="002E5EB4">
        <w:t xml:space="preserve">un </w:t>
      </w:r>
      <w:r w:rsidR="00FF44DB" w:rsidRPr="002E5EB4">
        <w:t>crecimiento del 1</w:t>
      </w:r>
      <w:r w:rsidR="00D83C2F" w:rsidRPr="002E5EB4">
        <w:t>3</w:t>
      </w:r>
      <w:r w:rsidR="00C06BAA" w:rsidRPr="002E5EB4">
        <w:t>.</w:t>
      </w:r>
      <w:r w:rsidR="00D83C2F" w:rsidRPr="002E5EB4">
        <w:t>2</w:t>
      </w:r>
      <w:r w:rsidR="00FF44DB" w:rsidRPr="002E5EB4">
        <w:t>%</w:t>
      </w:r>
      <w:r w:rsidR="0075095C" w:rsidRPr="002E5EB4">
        <w:t xml:space="preserve"> (</w:t>
      </w:r>
      <w:r w:rsidR="00C06BAA" w:rsidRPr="002E5EB4">
        <w:t>Q</w:t>
      </w:r>
      <w:r w:rsidR="00D83C2F" w:rsidRPr="002E5EB4">
        <w:t>10,195.9</w:t>
      </w:r>
      <w:r w:rsidR="00060974" w:rsidRPr="002E5EB4">
        <w:t xml:space="preserve"> millones</w:t>
      </w:r>
      <w:r w:rsidR="00C06BAA" w:rsidRPr="002E5EB4">
        <w:t>)</w:t>
      </w:r>
      <w:r w:rsidR="006143FB" w:rsidRPr="002E5EB4">
        <w:t xml:space="preserve"> </w:t>
      </w:r>
      <w:r w:rsidR="00A8628B" w:rsidRPr="002E5EB4">
        <w:t xml:space="preserve">y cabe mencionar </w:t>
      </w:r>
      <w:r w:rsidR="00280479" w:rsidRPr="002E5EB4">
        <w:t>que,</w:t>
      </w:r>
      <w:r w:rsidR="00A8628B" w:rsidRPr="002E5EB4">
        <w:t xml:space="preserve"> </w:t>
      </w:r>
      <w:r w:rsidR="00EF3830" w:rsidRPr="002E5EB4">
        <w:t xml:space="preserve">en el mes de septiembre, por primera vez </w:t>
      </w:r>
      <w:r w:rsidR="00D57222" w:rsidRPr="002E5EB4">
        <w:t>en el</w:t>
      </w:r>
      <w:r w:rsidR="00EF3830" w:rsidRPr="002E5EB4">
        <w:t xml:space="preserve"> año el dinamismo del gasto es menor al observado en el año previo, el cual era de 14.3% (</w:t>
      </w:r>
      <w:r w:rsidR="00D57222" w:rsidRPr="002E5EB4">
        <w:t>Q</w:t>
      </w:r>
      <w:r w:rsidR="001147F3" w:rsidRPr="002E5EB4">
        <w:t>9,677.7 millones)</w:t>
      </w:r>
      <w:r w:rsidR="00E744AB" w:rsidRPr="002E5EB4">
        <w:t>.</w:t>
      </w:r>
    </w:p>
    <w:p w14:paraId="0A285330" w14:textId="07DB8AAE" w:rsidR="000A65D1" w:rsidRPr="002E5EB4" w:rsidRDefault="004737F1" w:rsidP="00B67B8F">
      <w:r w:rsidRPr="002E5EB4">
        <w:rPr>
          <w:rFonts w:cs="Times New Roman"/>
          <w:noProof/>
          <w:szCs w:val="22"/>
          <w:lang w:eastAsia="es-GT"/>
        </w:rPr>
        <w:lastRenderedPageBreak/>
        <w:drawing>
          <wp:inline distT="0" distB="0" distL="0" distR="0" wp14:anchorId="0BB263B2" wp14:editId="44ABD40E">
            <wp:extent cx="6010275" cy="2684145"/>
            <wp:effectExtent l="0" t="0" r="9525" b="19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1C7D68" w:rsidRPr="002E5EB4">
        <w:t>E</w:t>
      </w:r>
      <w:r w:rsidR="00B53097" w:rsidRPr="002E5EB4">
        <w:t xml:space="preserve">l gobierno central presupuestario </w:t>
      </w:r>
      <w:r w:rsidR="00503016" w:rsidRPr="002E5EB4">
        <w:t xml:space="preserve">es </w:t>
      </w:r>
      <w:r w:rsidR="00D77BAD" w:rsidRPr="002E5EB4">
        <w:t xml:space="preserve">el nivel de gobierno que ha realizado el mayor gasto dentro del gobierno general, </w:t>
      </w:r>
      <w:r w:rsidR="004A37E3" w:rsidRPr="002E5EB4">
        <w:t>ejecut</w:t>
      </w:r>
      <w:r w:rsidR="00D77BAD" w:rsidRPr="002E5EB4">
        <w:t>ando</w:t>
      </w:r>
      <w:r w:rsidR="004A37E3" w:rsidRPr="002E5EB4">
        <w:t xml:space="preserve"> </w:t>
      </w:r>
      <w:r w:rsidR="00B72C21" w:rsidRPr="002E5EB4">
        <w:t>el</w:t>
      </w:r>
      <w:r w:rsidR="00A4430C" w:rsidRPr="002E5EB4">
        <w:t xml:space="preserve"> </w:t>
      </w:r>
      <w:r w:rsidR="008362CC" w:rsidRPr="002E5EB4">
        <w:t>6</w:t>
      </w:r>
      <w:r w:rsidR="000455DB" w:rsidRPr="002E5EB4">
        <w:t>6</w:t>
      </w:r>
      <w:r w:rsidR="00327094" w:rsidRPr="002E5EB4">
        <w:t>.</w:t>
      </w:r>
      <w:r w:rsidR="000455DB" w:rsidRPr="002E5EB4">
        <w:t>4</w:t>
      </w:r>
      <w:r w:rsidR="008362CC" w:rsidRPr="002E5EB4">
        <w:t>%</w:t>
      </w:r>
      <w:r w:rsidR="0012614D" w:rsidRPr="002E5EB4">
        <w:t xml:space="preserve"> del </w:t>
      </w:r>
      <w:r w:rsidR="000455DB" w:rsidRPr="002E5EB4">
        <w:t xml:space="preserve">total </w:t>
      </w:r>
      <w:r w:rsidR="0012614D" w:rsidRPr="002E5EB4">
        <w:t>gasto consolidado</w:t>
      </w:r>
      <w:r w:rsidR="00B83023" w:rsidRPr="002E5EB4">
        <w:t xml:space="preserve"> (sin incluir operaciones recíprocas)</w:t>
      </w:r>
      <w:r w:rsidR="00E04815" w:rsidRPr="002E5EB4">
        <w:t>,</w:t>
      </w:r>
      <w:r w:rsidR="0012614D" w:rsidRPr="002E5EB4">
        <w:t xml:space="preserve"> </w:t>
      </w:r>
      <w:r w:rsidR="002B3432" w:rsidRPr="002E5EB4">
        <w:t>el gobierno central</w:t>
      </w:r>
      <w:r w:rsidR="00242463" w:rsidRPr="002E5EB4">
        <w:t xml:space="preserve"> extrapresupuestari</w:t>
      </w:r>
      <w:r w:rsidR="004F4E85" w:rsidRPr="002E5EB4">
        <w:t>o</w:t>
      </w:r>
      <w:r w:rsidR="00242463" w:rsidRPr="002E5EB4">
        <w:t xml:space="preserve"> </w:t>
      </w:r>
      <w:r w:rsidR="00D7452F" w:rsidRPr="002E5EB4">
        <w:t xml:space="preserve">representa el </w:t>
      </w:r>
      <w:r w:rsidR="00242463" w:rsidRPr="002E5EB4">
        <w:t>1</w:t>
      </w:r>
      <w:r w:rsidR="00D7452F" w:rsidRPr="002E5EB4">
        <w:t>4</w:t>
      </w:r>
      <w:r w:rsidR="002B3432" w:rsidRPr="002E5EB4">
        <w:t>.</w:t>
      </w:r>
      <w:r w:rsidR="00D7452F" w:rsidRPr="002E5EB4">
        <w:t>4</w:t>
      </w:r>
      <w:r w:rsidR="00242463" w:rsidRPr="002E5EB4">
        <w:t>%</w:t>
      </w:r>
      <w:r w:rsidR="00D7452F" w:rsidRPr="002E5EB4">
        <w:t xml:space="preserve">, mientras que </w:t>
      </w:r>
      <w:r w:rsidR="009B63B8" w:rsidRPr="002E5EB4">
        <w:t>los</w:t>
      </w:r>
      <w:r w:rsidR="005C31A2" w:rsidRPr="002E5EB4">
        <w:t xml:space="preserve"> fondos de seguridad social el 1</w:t>
      </w:r>
      <w:r w:rsidR="00AC542B" w:rsidRPr="002E5EB4">
        <w:t>3.</w:t>
      </w:r>
      <w:r w:rsidR="00D7452F" w:rsidRPr="002E5EB4">
        <w:t>5</w:t>
      </w:r>
      <w:r w:rsidR="005C31A2" w:rsidRPr="002E5EB4">
        <w:t xml:space="preserve">% y los gobiernos locales el </w:t>
      </w:r>
      <w:r w:rsidR="003E25B5" w:rsidRPr="002E5EB4">
        <w:t>5</w:t>
      </w:r>
      <w:r w:rsidR="005C31A2" w:rsidRPr="002E5EB4">
        <w:t>.</w:t>
      </w:r>
      <w:r w:rsidR="009B63B8" w:rsidRPr="002E5EB4">
        <w:t>7</w:t>
      </w:r>
      <w:r w:rsidR="005C31A2" w:rsidRPr="002E5EB4">
        <w:t>%</w:t>
      </w:r>
      <w:r w:rsidR="00265AFF" w:rsidRPr="002E5EB4">
        <w:t>.</w:t>
      </w:r>
    </w:p>
    <w:p w14:paraId="78B64FF1" w14:textId="1CCDA120" w:rsidR="00F429C0" w:rsidRPr="002E5EB4" w:rsidRDefault="00B267B0" w:rsidP="00CE2E54">
      <w:pPr>
        <w:tabs>
          <w:tab w:val="left" w:pos="1803"/>
        </w:tabs>
      </w:pPr>
      <w:r w:rsidRPr="002E5EB4">
        <w:t>E</w:t>
      </w:r>
      <w:r w:rsidR="00CE2E54" w:rsidRPr="002E5EB4">
        <w:t>l gasto</w:t>
      </w:r>
      <w:r w:rsidRPr="002E5EB4">
        <w:t xml:space="preserve"> por cuenta económica muestra que </w:t>
      </w:r>
      <w:r w:rsidR="00F429C0" w:rsidRPr="002E5EB4">
        <w:rPr>
          <w:rFonts w:cs="Times New Roman"/>
          <w:szCs w:val="22"/>
        </w:rPr>
        <w:t xml:space="preserve">las remuneraciones han sido las que tienen un mayor crecimiento </w:t>
      </w:r>
      <w:r w:rsidR="00BC684A" w:rsidRPr="002E5EB4">
        <w:rPr>
          <w:rFonts w:cs="Times New Roman"/>
          <w:szCs w:val="22"/>
        </w:rPr>
        <w:t xml:space="preserve">al finalizar el tercer </w:t>
      </w:r>
      <w:r w:rsidR="00F429C0" w:rsidRPr="002E5EB4">
        <w:rPr>
          <w:rFonts w:cs="Times New Roman"/>
          <w:szCs w:val="22"/>
        </w:rPr>
        <w:t>trimestre del año</w:t>
      </w:r>
      <w:r w:rsidR="00BC684A" w:rsidRPr="002E5EB4">
        <w:rPr>
          <w:rFonts w:cs="Times New Roman"/>
          <w:szCs w:val="22"/>
        </w:rPr>
        <w:t xml:space="preserve">. Esta cuenta asciende a </w:t>
      </w:r>
      <w:r w:rsidR="00F429C0" w:rsidRPr="002E5EB4">
        <w:rPr>
          <w:rFonts w:cs="Times New Roman"/>
          <w:szCs w:val="22"/>
        </w:rPr>
        <w:t>Q</w:t>
      </w:r>
      <w:r w:rsidR="00AD6AF1" w:rsidRPr="002E5EB4">
        <w:rPr>
          <w:rFonts w:cs="Times New Roman"/>
          <w:szCs w:val="22"/>
        </w:rPr>
        <w:t>40,593.7 millones</w:t>
      </w:r>
      <w:r w:rsidR="006D705D">
        <w:rPr>
          <w:rFonts w:cs="Times New Roman"/>
          <w:szCs w:val="22"/>
        </w:rPr>
        <w:t>,</w:t>
      </w:r>
      <w:r w:rsidR="00BC684A" w:rsidRPr="002E5EB4">
        <w:rPr>
          <w:rFonts w:cs="Times New Roman"/>
          <w:szCs w:val="22"/>
        </w:rPr>
        <w:t xml:space="preserve"> con un c</w:t>
      </w:r>
      <w:r w:rsidR="00F429C0" w:rsidRPr="002E5EB4">
        <w:rPr>
          <w:rFonts w:cs="Times New Roman"/>
          <w:szCs w:val="22"/>
        </w:rPr>
        <w:t>recimiento del 1</w:t>
      </w:r>
      <w:r w:rsidR="005910DE" w:rsidRPr="002E5EB4">
        <w:rPr>
          <w:rFonts w:cs="Times New Roman"/>
          <w:szCs w:val="22"/>
        </w:rPr>
        <w:t>2</w:t>
      </w:r>
      <w:r w:rsidR="00F429C0" w:rsidRPr="002E5EB4">
        <w:rPr>
          <w:rFonts w:cs="Times New Roman"/>
          <w:szCs w:val="22"/>
        </w:rPr>
        <w:t>.</w:t>
      </w:r>
      <w:r w:rsidR="005910DE" w:rsidRPr="002E5EB4">
        <w:rPr>
          <w:rFonts w:cs="Times New Roman"/>
          <w:szCs w:val="22"/>
        </w:rPr>
        <w:t>1</w:t>
      </w:r>
      <w:r w:rsidR="00F429C0" w:rsidRPr="002E5EB4">
        <w:rPr>
          <w:rFonts w:cs="Times New Roman"/>
          <w:szCs w:val="22"/>
        </w:rPr>
        <w:t>% (Q</w:t>
      </w:r>
      <w:r w:rsidR="005910DE" w:rsidRPr="002E5EB4">
        <w:t xml:space="preserve"> </w:t>
      </w:r>
      <w:r w:rsidR="005910DE" w:rsidRPr="002E5EB4">
        <w:rPr>
          <w:rFonts w:cs="Times New Roman"/>
          <w:szCs w:val="22"/>
        </w:rPr>
        <w:t>4,369.1</w:t>
      </w:r>
      <w:r w:rsidR="00F429C0" w:rsidRPr="002E5EB4">
        <w:rPr>
          <w:rFonts w:cs="Times New Roman"/>
          <w:szCs w:val="22"/>
        </w:rPr>
        <w:t xml:space="preserve"> millones)</w:t>
      </w:r>
      <w:r w:rsidR="00964D71" w:rsidRPr="002E5EB4">
        <w:rPr>
          <w:rFonts w:cs="Times New Roman"/>
          <w:szCs w:val="22"/>
        </w:rPr>
        <w:t xml:space="preserve"> y </w:t>
      </w:r>
      <w:r w:rsidR="004A39D5" w:rsidRPr="002E5EB4">
        <w:rPr>
          <w:rFonts w:cs="Times New Roman"/>
          <w:szCs w:val="22"/>
        </w:rPr>
        <w:t>a nivel de gobierno</w:t>
      </w:r>
      <w:r w:rsidR="001B3882">
        <w:rPr>
          <w:rFonts w:cs="Times New Roman"/>
          <w:szCs w:val="22"/>
        </w:rPr>
        <w:t>,</w:t>
      </w:r>
      <w:r w:rsidR="004A39D5" w:rsidRPr="002E5EB4">
        <w:rPr>
          <w:rFonts w:cs="Times New Roman"/>
          <w:szCs w:val="22"/>
        </w:rPr>
        <w:t xml:space="preserve"> </w:t>
      </w:r>
      <w:r w:rsidR="00F429C0" w:rsidRPr="002E5EB4">
        <w:rPr>
          <w:rFonts w:cs="Times New Roman"/>
          <w:szCs w:val="22"/>
        </w:rPr>
        <w:t>la mayor ejecución la realiza el gobierno central presupuestario con el 63.</w:t>
      </w:r>
      <w:r w:rsidR="003B510C" w:rsidRPr="002E5EB4">
        <w:rPr>
          <w:rFonts w:cs="Times New Roman"/>
          <w:szCs w:val="22"/>
        </w:rPr>
        <w:t>1</w:t>
      </w:r>
      <w:r w:rsidR="00F429C0" w:rsidRPr="002E5EB4">
        <w:rPr>
          <w:rFonts w:cs="Times New Roman"/>
          <w:szCs w:val="22"/>
        </w:rPr>
        <w:t>%, seguido del gobierno central extrapresupuestario con el 24</w:t>
      </w:r>
      <w:r w:rsidR="00C76104" w:rsidRPr="002E5EB4">
        <w:rPr>
          <w:rFonts w:cs="Times New Roman"/>
          <w:szCs w:val="22"/>
        </w:rPr>
        <w:t>.4</w:t>
      </w:r>
      <w:r w:rsidR="00F429C0" w:rsidRPr="002E5EB4">
        <w:rPr>
          <w:rFonts w:cs="Times New Roman"/>
          <w:szCs w:val="22"/>
        </w:rPr>
        <w:t>%, los gobiernos locales con el 6.</w:t>
      </w:r>
      <w:r w:rsidR="00C76104" w:rsidRPr="002E5EB4">
        <w:rPr>
          <w:rFonts w:cs="Times New Roman"/>
          <w:szCs w:val="22"/>
        </w:rPr>
        <w:t>3</w:t>
      </w:r>
      <w:r w:rsidR="00F429C0" w:rsidRPr="002E5EB4">
        <w:rPr>
          <w:rFonts w:cs="Times New Roman"/>
          <w:szCs w:val="22"/>
        </w:rPr>
        <w:t>%, y finalmente, los fondos de seguridad social con el 6.</w:t>
      </w:r>
      <w:r w:rsidR="00C76104" w:rsidRPr="002E5EB4">
        <w:rPr>
          <w:rFonts w:cs="Times New Roman"/>
          <w:szCs w:val="22"/>
        </w:rPr>
        <w:t>2</w:t>
      </w:r>
      <w:r w:rsidR="00F429C0" w:rsidRPr="002E5EB4">
        <w:rPr>
          <w:rFonts w:cs="Times New Roman"/>
          <w:szCs w:val="22"/>
        </w:rPr>
        <w:t>%.</w:t>
      </w:r>
    </w:p>
    <w:p w14:paraId="7DD97810" w14:textId="694DFE33" w:rsidR="00CE2E54" w:rsidRPr="002E5EB4" w:rsidRDefault="004A39D5" w:rsidP="00CE2E54">
      <w:pPr>
        <w:tabs>
          <w:tab w:val="left" w:pos="1803"/>
        </w:tabs>
      </w:pPr>
      <w:r w:rsidRPr="002E5EB4">
        <w:t xml:space="preserve">El gasto realizado en </w:t>
      </w:r>
      <w:r w:rsidR="00CE2E54" w:rsidRPr="002E5EB4">
        <w:t>bienes y servicios</w:t>
      </w:r>
      <w:r w:rsidR="007A6A55" w:rsidRPr="002E5EB4">
        <w:t xml:space="preserve"> </w:t>
      </w:r>
      <w:r w:rsidR="000222CE" w:rsidRPr="002E5EB4">
        <w:t xml:space="preserve">muestra el segundo mayor </w:t>
      </w:r>
      <w:r w:rsidR="007A6A55" w:rsidRPr="002E5EB4">
        <w:t>crecimiento</w:t>
      </w:r>
      <w:r w:rsidR="00236099">
        <w:t>,</w:t>
      </w:r>
      <w:r w:rsidR="00953C36" w:rsidRPr="002E5EB4">
        <w:t xml:space="preserve"> </w:t>
      </w:r>
      <w:r w:rsidR="000222CE" w:rsidRPr="002E5EB4">
        <w:t xml:space="preserve">este se sitúa en </w:t>
      </w:r>
      <w:r w:rsidR="00CE2E54" w:rsidRPr="002E5EB4">
        <w:t>Q</w:t>
      </w:r>
      <w:r w:rsidR="00637E82" w:rsidRPr="002E5EB4">
        <w:t>18,680.2</w:t>
      </w:r>
      <w:r w:rsidR="0085290F" w:rsidRPr="002E5EB4">
        <w:t xml:space="preserve"> </w:t>
      </w:r>
      <w:r w:rsidR="00CE2E54" w:rsidRPr="002E5EB4">
        <w:t>millones</w:t>
      </w:r>
      <w:r w:rsidR="00637E82" w:rsidRPr="002E5EB4">
        <w:t xml:space="preserve"> con una</w:t>
      </w:r>
      <w:r w:rsidR="0085290F" w:rsidRPr="002E5EB4">
        <w:t xml:space="preserve"> tasa de crecimiento</w:t>
      </w:r>
      <w:r w:rsidR="004F4E85" w:rsidRPr="002E5EB4">
        <w:t xml:space="preserve"> </w:t>
      </w:r>
      <w:r w:rsidR="0085290F" w:rsidRPr="002E5EB4">
        <w:t xml:space="preserve">del </w:t>
      </w:r>
      <w:r w:rsidR="00637E82" w:rsidRPr="002E5EB4">
        <w:t>29.9</w:t>
      </w:r>
      <w:r w:rsidR="0003331E" w:rsidRPr="002E5EB4">
        <w:t>% (Q</w:t>
      </w:r>
      <w:r w:rsidR="00723218" w:rsidRPr="002E5EB4">
        <w:t>4,294.9 millones</w:t>
      </w:r>
      <w:r w:rsidR="0003331E" w:rsidRPr="002E5EB4">
        <w:t>)</w:t>
      </w:r>
      <w:r w:rsidR="00CE2E54" w:rsidRPr="002E5EB4">
        <w:t xml:space="preserve">. El </w:t>
      </w:r>
      <w:r w:rsidR="004F4E85" w:rsidRPr="002E5EB4">
        <w:t>aumen</w:t>
      </w:r>
      <w:r w:rsidR="00CE2E54" w:rsidRPr="002E5EB4">
        <w:t xml:space="preserve">to </w:t>
      </w:r>
      <w:r w:rsidR="00F9638E" w:rsidRPr="002E5EB4">
        <w:t>en esta cuenta se</w:t>
      </w:r>
      <w:r w:rsidR="00CE2E54" w:rsidRPr="002E5EB4">
        <w:t xml:space="preserve"> atribuye principalmente</w:t>
      </w:r>
      <w:r w:rsidR="00C45849" w:rsidRPr="002E5EB4">
        <w:t xml:space="preserve"> a </w:t>
      </w:r>
      <w:r w:rsidR="00525DFE" w:rsidRPr="002E5EB4">
        <w:t xml:space="preserve">dos </w:t>
      </w:r>
      <w:r w:rsidR="00C45849" w:rsidRPr="002E5EB4">
        <w:t>elementos, el primero es</w:t>
      </w:r>
      <w:r w:rsidR="00CE2E54" w:rsidRPr="002E5EB4">
        <w:t xml:space="preserve"> al gobierno central presupuestario</w:t>
      </w:r>
      <w:r w:rsidR="00F9638E" w:rsidRPr="002E5EB4">
        <w:t xml:space="preserve"> </w:t>
      </w:r>
      <w:r w:rsidR="00644288" w:rsidRPr="002E5EB4">
        <w:t xml:space="preserve">y </w:t>
      </w:r>
      <w:r w:rsidR="00CB0D97" w:rsidRPr="002E5EB4">
        <w:t xml:space="preserve">la ejecución </w:t>
      </w:r>
      <w:r w:rsidR="00125EF4" w:rsidRPr="002E5EB4">
        <w:t xml:space="preserve">destinada para </w:t>
      </w:r>
      <w:r w:rsidR="00CB0D97" w:rsidRPr="002E5EB4">
        <w:t>el</w:t>
      </w:r>
      <w:r w:rsidR="00CE2E54" w:rsidRPr="002E5EB4">
        <w:t xml:space="preserve"> mantenimiento y reparación de bienes nacionales de uso común</w:t>
      </w:r>
      <w:r w:rsidR="005D4F4B" w:rsidRPr="002E5EB4">
        <w:t xml:space="preserve"> (</w:t>
      </w:r>
      <w:r w:rsidR="00144A82" w:rsidRPr="002E5EB4">
        <w:t xml:space="preserve">incluye carreteras y puentes, en accesorios y repuestos en general, entre </w:t>
      </w:r>
      <w:r w:rsidR="00660C03" w:rsidRPr="002E5EB4">
        <w:t xml:space="preserve">otros) </w:t>
      </w:r>
      <w:r w:rsidR="004F51E3" w:rsidRPr="002E5EB4">
        <w:t xml:space="preserve">el cual </w:t>
      </w:r>
      <w:r w:rsidR="008C0D79" w:rsidRPr="002E5EB4">
        <w:t xml:space="preserve">asciende a </w:t>
      </w:r>
      <w:r w:rsidR="00F42185" w:rsidRPr="002E5EB4">
        <w:t>Q</w:t>
      </w:r>
      <w:r w:rsidR="008C0D79" w:rsidRPr="002E5EB4">
        <w:t>2,623.6</w:t>
      </w:r>
      <w:r w:rsidR="003D2700" w:rsidRPr="002E5EB4">
        <w:t xml:space="preserve"> </w:t>
      </w:r>
      <w:r w:rsidR="00F42185" w:rsidRPr="002E5EB4">
        <w:t>millones</w:t>
      </w:r>
      <w:r w:rsidR="00A75C0D">
        <w:t>,</w:t>
      </w:r>
      <w:r w:rsidR="008C0D79" w:rsidRPr="002E5EB4">
        <w:t xml:space="preserve"> </w:t>
      </w:r>
      <w:r w:rsidR="00A34210" w:rsidRPr="002E5EB4">
        <w:t>con</w:t>
      </w:r>
      <w:r w:rsidR="008C0D79" w:rsidRPr="002E5EB4">
        <w:t xml:space="preserve"> </w:t>
      </w:r>
      <w:r w:rsidR="00F90D3A" w:rsidRPr="002E5EB4">
        <w:t xml:space="preserve">un </w:t>
      </w:r>
      <w:r w:rsidR="008C0D79" w:rsidRPr="002E5EB4">
        <w:t xml:space="preserve">crecimiento del </w:t>
      </w:r>
      <w:r w:rsidR="00CD67A2" w:rsidRPr="002E5EB4">
        <w:t>51.6% (Q893.</w:t>
      </w:r>
      <w:r w:rsidR="004B588B">
        <w:t>3</w:t>
      </w:r>
      <w:r w:rsidR="00CD67A2" w:rsidRPr="002E5EB4">
        <w:t xml:space="preserve"> millones</w:t>
      </w:r>
      <w:r w:rsidR="000D3F40" w:rsidRPr="002E5EB4">
        <w:t>)</w:t>
      </w:r>
      <w:r w:rsidR="00A34210" w:rsidRPr="002E5EB4">
        <w:t xml:space="preserve"> </w:t>
      </w:r>
      <w:r w:rsidR="00C45849" w:rsidRPr="002E5EB4">
        <w:t>mientras que el segundo elemento es</w:t>
      </w:r>
      <w:r w:rsidR="00A34210" w:rsidRPr="002E5EB4">
        <w:t xml:space="preserve"> </w:t>
      </w:r>
      <w:r w:rsidR="00C45849" w:rsidRPr="002E5EB4">
        <w:t>el gasto de los fondos de seguridad social en productos medicinales y farmacéuticos el cual es de Q2,256.</w:t>
      </w:r>
      <w:r w:rsidR="004B588B">
        <w:t>6</w:t>
      </w:r>
      <w:r w:rsidR="00C45849" w:rsidRPr="002E5EB4">
        <w:t xml:space="preserve"> millones siendo un incremento de</w:t>
      </w:r>
      <w:r w:rsidR="00ED143F" w:rsidRPr="002E5EB4">
        <w:t>l 56.9% (Q818</w:t>
      </w:r>
      <w:r w:rsidR="00DE1EDA" w:rsidRPr="002E5EB4">
        <w:t>.</w:t>
      </w:r>
      <w:r w:rsidR="00ED143F" w:rsidRPr="002E5EB4">
        <w:t>6 millones)</w:t>
      </w:r>
      <w:r w:rsidR="006A04B6" w:rsidRPr="002E5EB4">
        <w:t xml:space="preserve"> respecto al año previo.</w:t>
      </w:r>
      <w:r w:rsidR="00ED143F" w:rsidRPr="002E5EB4">
        <w:t xml:space="preserve"> </w:t>
      </w:r>
    </w:p>
    <w:p w14:paraId="6A055AFC" w14:textId="36884C29" w:rsidR="00723218" w:rsidRPr="002E5EB4" w:rsidRDefault="00723218" w:rsidP="00723218">
      <w:pPr>
        <w:rPr>
          <w:rFonts w:cs="Times New Roman"/>
          <w:szCs w:val="22"/>
        </w:rPr>
      </w:pPr>
      <w:r w:rsidRPr="002E5EB4">
        <w:rPr>
          <w:rFonts w:cs="Times New Roman"/>
          <w:szCs w:val="22"/>
        </w:rPr>
        <w:t>En lo que respecta a las prestaciones sociales, estas ascendieron a Q</w:t>
      </w:r>
      <w:r w:rsidR="00A16CD9" w:rsidRPr="002E5EB4">
        <w:rPr>
          <w:rFonts w:cs="Times New Roman"/>
          <w:szCs w:val="22"/>
        </w:rPr>
        <w:t xml:space="preserve">10,871.6 </w:t>
      </w:r>
      <w:r w:rsidRPr="002E5EB4">
        <w:rPr>
          <w:rFonts w:cs="Times New Roman"/>
          <w:szCs w:val="22"/>
        </w:rPr>
        <w:t>millones, las cuales muestran un crecimiento interanual del 1</w:t>
      </w:r>
      <w:r w:rsidR="00A16CD9" w:rsidRPr="002E5EB4">
        <w:rPr>
          <w:rFonts w:cs="Times New Roman"/>
          <w:szCs w:val="22"/>
        </w:rPr>
        <w:t>7</w:t>
      </w:r>
      <w:r w:rsidRPr="002E5EB4">
        <w:rPr>
          <w:rFonts w:cs="Times New Roman"/>
          <w:szCs w:val="22"/>
        </w:rPr>
        <w:t>.</w:t>
      </w:r>
      <w:r w:rsidR="00A16CD9" w:rsidRPr="002E5EB4">
        <w:rPr>
          <w:rFonts w:cs="Times New Roman"/>
          <w:szCs w:val="22"/>
        </w:rPr>
        <w:t>6</w:t>
      </w:r>
      <w:r w:rsidRPr="002E5EB4">
        <w:rPr>
          <w:rFonts w:cs="Times New Roman"/>
          <w:szCs w:val="22"/>
        </w:rPr>
        <w:t>% (Q</w:t>
      </w:r>
      <w:r w:rsidR="00E94B55" w:rsidRPr="002E5EB4">
        <w:rPr>
          <w:rFonts w:cs="Times New Roman"/>
          <w:szCs w:val="22"/>
        </w:rPr>
        <w:t>1,623.6 millones</w:t>
      </w:r>
      <w:r w:rsidRPr="002E5EB4">
        <w:rPr>
          <w:rFonts w:cs="Times New Roman"/>
          <w:szCs w:val="22"/>
        </w:rPr>
        <w:t>)</w:t>
      </w:r>
      <w:r w:rsidR="00992397" w:rsidRPr="002E5EB4">
        <w:rPr>
          <w:rFonts w:cs="Times New Roman"/>
          <w:szCs w:val="22"/>
        </w:rPr>
        <w:t>. E</w:t>
      </w:r>
      <w:r w:rsidRPr="002E5EB4">
        <w:rPr>
          <w:rFonts w:cs="Times New Roman"/>
          <w:szCs w:val="22"/>
        </w:rPr>
        <w:t>l gobierno central presupuestario ejecuta el 5</w:t>
      </w:r>
      <w:r w:rsidR="000D42F8" w:rsidRPr="002E5EB4">
        <w:rPr>
          <w:rFonts w:cs="Times New Roman"/>
          <w:szCs w:val="22"/>
        </w:rPr>
        <w:t>3</w:t>
      </w:r>
      <w:r w:rsidRPr="002E5EB4">
        <w:rPr>
          <w:rFonts w:cs="Times New Roman"/>
          <w:szCs w:val="22"/>
        </w:rPr>
        <w:t>.</w:t>
      </w:r>
      <w:r w:rsidR="008752C4">
        <w:rPr>
          <w:rFonts w:cs="Times New Roman"/>
          <w:szCs w:val="22"/>
        </w:rPr>
        <w:t>2</w:t>
      </w:r>
      <w:r w:rsidRPr="002E5EB4">
        <w:rPr>
          <w:rFonts w:cs="Times New Roman"/>
          <w:szCs w:val="22"/>
        </w:rPr>
        <w:t>%</w:t>
      </w:r>
      <w:r w:rsidR="000D42F8" w:rsidRPr="002E5EB4">
        <w:rPr>
          <w:rFonts w:cs="Times New Roman"/>
          <w:szCs w:val="22"/>
        </w:rPr>
        <w:t xml:space="preserve"> del total de estos gastos</w:t>
      </w:r>
      <w:r w:rsidRPr="002E5EB4">
        <w:rPr>
          <w:rFonts w:cs="Times New Roman"/>
          <w:szCs w:val="22"/>
        </w:rPr>
        <w:t>, seguido de los fondos de seguridad social con el 4</w:t>
      </w:r>
      <w:r w:rsidR="000D42F8" w:rsidRPr="002E5EB4">
        <w:rPr>
          <w:rFonts w:cs="Times New Roman"/>
          <w:szCs w:val="22"/>
        </w:rPr>
        <w:t>1</w:t>
      </w:r>
      <w:r w:rsidRPr="002E5EB4">
        <w:rPr>
          <w:rFonts w:cs="Times New Roman"/>
          <w:szCs w:val="22"/>
        </w:rPr>
        <w:t>.</w:t>
      </w:r>
      <w:r w:rsidR="000D42F8" w:rsidRPr="002E5EB4">
        <w:rPr>
          <w:rFonts w:cs="Times New Roman"/>
          <w:szCs w:val="22"/>
        </w:rPr>
        <w:t>3</w:t>
      </w:r>
      <w:r w:rsidRPr="002E5EB4">
        <w:rPr>
          <w:rFonts w:cs="Times New Roman"/>
          <w:szCs w:val="22"/>
        </w:rPr>
        <w:t>%, el gobierno central extrapresupuestario ejecuta el 3</w:t>
      </w:r>
      <w:r w:rsidR="000D42F8" w:rsidRPr="002E5EB4">
        <w:rPr>
          <w:rFonts w:cs="Times New Roman"/>
          <w:szCs w:val="22"/>
        </w:rPr>
        <w:t>.7</w:t>
      </w:r>
      <w:r w:rsidRPr="002E5EB4">
        <w:rPr>
          <w:rFonts w:cs="Times New Roman"/>
          <w:szCs w:val="22"/>
        </w:rPr>
        <w:t>% y los gobiernos locales el 1.8%</w:t>
      </w:r>
    </w:p>
    <w:p w14:paraId="6251A88B" w14:textId="0073462A" w:rsidR="00437373" w:rsidRPr="002E5EB4" w:rsidRDefault="00A65F59" w:rsidP="00455081">
      <w:pPr>
        <w:rPr>
          <w:rFonts w:cs="Times New Roman"/>
          <w:szCs w:val="22"/>
          <w:lang w:val="es-MX"/>
        </w:rPr>
      </w:pPr>
      <w:r w:rsidRPr="002E5EB4">
        <w:rPr>
          <w:rFonts w:cs="Times New Roman"/>
          <w:szCs w:val="22"/>
        </w:rPr>
        <w:t>La categoría de otros gastos ascendió</w:t>
      </w:r>
      <w:r w:rsidR="00BD06BE" w:rsidRPr="002E5EB4">
        <w:rPr>
          <w:rFonts w:cs="Times New Roman"/>
          <w:szCs w:val="22"/>
        </w:rPr>
        <w:t xml:space="preserve"> a </w:t>
      </w:r>
      <w:r w:rsidR="00455081" w:rsidRPr="002E5EB4">
        <w:rPr>
          <w:rFonts w:cs="Times New Roman"/>
          <w:szCs w:val="22"/>
        </w:rPr>
        <w:t>Q</w:t>
      </w:r>
      <w:r w:rsidR="00E94B55" w:rsidRPr="002E5EB4">
        <w:rPr>
          <w:rFonts w:cs="Times New Roman"/>
          <w:szCs w:val="22"/>
        </w:rPr>
        <w:t>7,494.2</w:t>
      </w:r>
      <w:r w:rsidR="00455081" w:rsidRPr="002E5EB4">
        <w:rPr>
          <w:rFonts w:cs="Times New Roman"/>
          <w:szCs w:val="22"/>
        </w:rPr>
        <w:t xml:space="preserve"> millones</w:t>
      </w:r>
      <w:r w:rsidR="004F4E85" w:rsidRPr="002E5EB4">
        <w:rPr>
          <w:rFonts w:cs="Times New Roman"/>
          <w:szCs w:val="22"/>
        </w:rPr>
        <w:t>,</w:t>
      </w:r>
      <w:r w:rsidR="00041505" w:rsidRPr="002E5EB4">
        <w:rPr>
          <w:rFonts w:cs="Times New Roman"/>
          <w:szCs w:val="22"/>
        </w:rPr>
        <w:t xml:space="preserve"> con un incremento</w:t>
      </w:r>
      <w:r w:rsidR="004F4E85" w:rsidRPr="002E5EB4">
        <w:rPr>
          <w:rFonts w:cs="Times New Roman"/>
          <w:szCs w:val="22"/>
        </w:rPr>
        <w:t xml:space="preserve"> interanual</w:t>
      </w:r>
      <w:r w:rsidR="00041505" w:rsidRPr="002E5EB4">
        <w:rPr>
          <w:rFonts w:cs="Times New Roman"/>
          <w:szCs w:val="22"/>
        </w:rPr>
        <w:t xml:space="preserve"> del </w:t>
      </w:r>
      <w:r w:rsidR="003B779C" w:rsidRPr="002E5EB4">
        <w:rPr>
          <w:rFonts w:cs="Times New Roman"/>
          <w:szCs w:val="22"/>
        </w:rPr>
        <w:t>19</w:t>
      </w:r>
      <w:r w:rsidR="00041505" w:rsidRPr="002E5EB4">
        <w:rPr>
          <w:rFonts w:cs="Times New Roman"/>
          <w:szCs w:val="22"/>
        </w:rPr>
        <w:t>.</w:t>
      </w:r>
      <w:r w:rsidR="003B779C" w:rsidRPr="002E5EB4">
        <w:rPr>
          <w:rFonts w:cs="Times New Roman"/>
          <w:szCs w:val="22"/>
        </w:rPr>
        <w:t>7</w:t>
      </w:r>
      <w:r w:rsidR="00041505" w:rsidRPr="002E5EB4">
        <w:rPr>
          <w:rFonts w:cs="Times New Roman"/>
          <w:szCs w:val="22"/>
        </w:rPr>
        <w:t>% (Q</w:t>
      </w:r>
      <w:r w:rsidR="003B779C" w:rsidRPr="002E5EB4">
        <w:rPr>
          <w:rFonts w:cs="Times New Roman"/>
          <w:szCs w:val="22"/>
        </w:rPr>
        <w:t>1,232.4 millones</w:t>
      </w:r>
      <w:r w:rsidR="00041505" w:rsidRPr="002E5EB4">
        <w:rPr>
          <w:rFonts w:cs="Times New Roman"/>
          <w:szCs w:val="22"/>
        </w:rPr>
        <w:t>)</w:t>
      </w:r>
      <w:r w:rsidR="00455081" w:rsidRPr="002E5EB4">
        <w:rPr>
          <w:rFonts w:cs="Times New Roman"/>
          <w:szCs w:val="22"/>
        </w:rPr>
        <w:t xml:space="preserve"> respecto </w:t>
      </w:r>
      <w:r w:rsidR="00041505" w:rsidRPr="002E5EB4">
        <w:rPr>
          <w:rFonts w:cs="Times New Roman"/>
          <w:szCs w:val="22"/>
        </w:rPr>
        <w:t>al mismo periodo del año previo</w:t>
      </w:r>
      <w:r w:rsidR="00455081" w:rsidRPr="002E5EB4">
        <w:rPr>
          <w:rFonts w:cs="Times New Roman"/>
          <w:szCs w:val="22"/>
        </w:rPr>
        <w:t xml:space="preserve">. </w:t>
      </w:r>
      <w:r w:rsidRPr="002E5EB4">
        <w:rPr>
          <w:rFonts w:cs="Times New Roman"/>
          <w:szCs w:val="22"/>
        </w:rPr>
        <w:t>El g</w:t>
      </w:r>
      <w:r w:rsidR="00455081" w:rsidRPr="002E5EB4">
        <w:rPr>
          <w:rFonts w:cs="Times New Roman"/>
          <w:szCs w:val="22"/>
        </w:rPr>
        <w:t xml:space="preserve">obierno central presupuestario </w:t>
      </w:r>
      <w:r w:rsidR="00DD75DF" w:rsidRPr="002E5EB4">
        <w:rPr>
          <w:rFonts w:cs="Times New Roman"/>
          <w:szCs w:val="22"/>
        </w:rPr>
        <w:t xml:space="preserve">está realizando el </w:t>
      </w:r>
      <w:r w:rsidR="002D27CC" w:rsidRPr="002E5EB4">
        <w:rPr>
          <w:rFonts w:cs="Times New Roman"/>
          <w:szCs w:val="22"/>
        </w:rPr>
        <w:t>87.8</w:t>
      </w:r>
      <w:r w:rsidR="00455081" w:rsidRPr="002E5EB4">
        <w:rPr>
          <w:rFonts w:cs="Times New Roman"/>
          <w:szCs w:val="22"/>
          <w:lang w:val="es-MX"/>
        </w:rPr>
        <w:t>%</w:t>
      </w:r>
      <w:r w:rsidR="00A508D6" w:rsidRPr="002E5EB4">
        <w:rPr>
          <w:rFonts w:cs="Times New Roman"/>
          <w:szCs w:val="22"/>
          <w:lang w:val="es-MX"/>
        </w:rPr>
        <w:t xml:space="preserve"> </w:t>
      </w:r>
      <w:r w:rsidR="002D27CC" w:rsidRPr="002E5EB4">
        <w:rPr>
          <w:rFonts w:cs="Times New Roman"/>
          <w:szCs w:val="22"/>
          <w:lang w:val="es-MX"/>
        </w:rPr>
        <w:t xml:space="preserve">del total </w:t>
      </w:r>
      <w:r w:rsidR="00B05015" w:rsidRPr="002E5EB4">
        <w:rPr>
          <w:rFonts w:cs="Times New Roman"/>
          <w:szCs w:val="22"/>
          <w:lang w:val="es-MX"/>
        </w:rPr>
        <w:t xml:space="preserve">de la ejecución </w:t>
      </w:r>
      <w:r w:rsidR="002D27CC" w:rsidRPr="002E5EB4">
        <w:rPr>
          <w:rFonts w:cs="Times New Roman"/>
          <w:szCs w:val="22"/>
          <w:lang w:val="es-MX"/>
        </w:rPr>
        <w:t>que realiza el gobierno general</w:t>
      </w:r>
      <w:r w:rsidR="00A508D6" w:rsidRPr="002E5EB4">
        <w:rPr>
          <w:rFonts w:cs="Times New Roman"/>
          <w:szCs w:val="22"/>
          <w:lang w:val="es-MX"/>
        </w:rPr>
        <w:t xml:space="preserve">, seguido del gobierno central extrapresupuestario </w:t>
      </w:r>
      <w:r w:rsidR="00AF6DE8" w:rsidRPr="002E5EB4">
        <w:rPr>
          <w:rFonts w:cs="Times New Roman"/>
          <w:szCs w:val="22"/>
          <w:lang w:val="es-MX"/>
        </w:rPr>
        <w:t>con el 3.6%, los gobiernos locales ejecutan el 2.</w:t>
      </w:r>
      <w:r w:rsidR="00B35B3A" w:rsidRPr="002E5EB4">
        <w:rPr>
          <w:rFonts w:cs="Times New Roman"/>
          <w:szCs w:val="22"/>
          <w:lang w:val="es-MX"/>
        </w:rPr>
        <w:t>2</w:t>
      </w:r>
      <w:r w:rsidR="00AF6DE8" w:rsidRPr="002E5EB4">
        <w:rPr>
          <w:rFonts w:cs="Times New Roman"/>
          <w:szCs w:val="22"/>
          <w:lang w:val="es-MX"/>
        </w:rPr>
        <w:t xml:space="preserve">% y los fondos de seguridad social el </w:t>
      </w:r>
      <w:r w:rsidR="00B05015" w:rsidRPr="002E5EB4">
        <w:rPr>
          <w:rFonts w:cs="Times New Roman"/>
          <w:szCs w:val="22"/>
          <w:lang w:val="es-MX"/>
        </w:rPr>
        <w:t>6</w:t>
      </w:r>
      <w:r w:rsidR="00AF6DE8" w:rsidRPr="002E5EB4">
        <w:rPr>
          <w:rFonts w:cs="Times New Roman"/>
          <w:szCs w:val="22"/>
          <w:lang w:val="es-MX"/>
        </w:rPr>
        <w:t>.</w:t>
      </w:r>
      <w:r w:rsidR="00B05015" w:rsidRPr="002E5EB4">
        <w:rPr>
          <w:rFonts w:cs="Times New Roman"/>
          <w:szCs w:val="22"/>
          <w:lang w:val="es-MX"/>
        </w:rPr>
        <w:t>4</w:t>
      </w:r>
      <w:r w:rsidR="00AF6DE8" w:rsidRPr="002E5EB4">
        <w:rPr>
          <w:rFonts w:cs="Times New Roman"/>
          <w:szCs w:val="22"/>
          <w:lang w:val="es-MX"/>
        </w:rPr>
        <w:t>%</w:t>
      </w:r>
      <w:r w:rsidR="00455081" w:rsidRPr="002E5EB4">
        <w:rPr>
          <w:rFonts w:cs="Times New Roman"/>
          <w:szCs w:val="22"/>
          <w:lang w:val="es-MX"/>
        </w:rPr>
        <w:t>.</w:t>
      </w:r>
    </w:p>
    <w:p w14:paraId="7B3F7BC9" w14:textId="4D37CB02" w:rsidR="00455081" w:rsidRPr="002E5EB4" w:rsidRDefault="00455081" w:rsidP="00455081">
      <w:pPr>
        <w:rPr>
          <w:rFonts w:cs="Times New Roman"/>
          <w:szCs w:val="22"/>
        </w:rPr>
      </w:pPr>
      <w:r w:rsidRPr="002E5EB4">
        <w:rPr>
          <w:rFonts w:cs="Times New Roman"/>
          <w:szCs w:val="22"/>
        </w:rPr>
        <w:t xml:space="preserve">Los intereses </w:t>
      </w:r>
      <w:r w:rsidR="005222DD" w:rsidRPr="002E5EB4">
        <w:rPr>
          <w:rFonts w:cs="Times New Roman"/>
          <w:szCs w:val="22"/>
        </w:rPr>
        <w:t xml:space="preserve">mostraron una ejecución del </w:t>
      </w:r>
      <w:r w:rsidRPr="002E5EB4">
        <w:rPr>
          <w:rFonts w:cs="Times New Roman"/>
          <w:szCs w:val="22"/>
        </w:rPr>
        <w:t>Q</w:t>
      </w:r>
      <w:r w:rsidR="003B779C" w:rsidRPr="002E5EB4">
        <w:rPr>
          <w:rFonts w:cs="Times New Roman"/>
          <w:szCs w:val="22"/>
        </w:rPr>
        <w:t xml:space="preserve">8,551.4 </w:t>
      </w:r>
      <w:r w:rsidRPr="002E5EB4">
        <w:rPr>
          <w:rFonts w:cs="Times New Roman"/>
          <w:szCs w:val="22"/>
        </w:rPr>
        <w:t>millones</w:t>
      </w:r>
      <w:r w:rsidR="00480606" w:rsidRPr="002E5EB4">
        <w:rPr>
          <w:rFonts w:cs="Times New Roman"/>
          <w:szCs w:val="22"/>
        </w:rPr>
        <w:t xml:space="preserve"> con un incremento </w:t>
      </w:r>
      <w:r w:rsidR="004F4E85" w:rsidRPr="002E5EB4">
        <w:rPr>
          <w:rFonts w:cs="Times New Roman"/>
          <w:szCs w:val="22"/>
        </w:rPr>
        <w:t>interanual</w:t>
      </w:r>
      <w:r w:rsidR="00B1586D" w:rsidRPr="002E5EB4">
        <w:rPr>
          <w:rFonts w:cs="Times New Roman"/>
          <w:szCs w:val="22"/>
        </w:rPr>
        <w:t xml:space="preserve"> </w:t>
      </w:r>
      <w:r w:rsidR="00480606" w:rsidRPr="002E5EB4">
        <w:rPr>
          <w:rFonts w:cs="Times New Roman"/>
          <w:szCs w:val="22"/>
        </w:rPr>
        <w:t xml:space="preserve">del </w:t>
      </w:r>
      <w:r w:rsidR="003B779C" w:rsidRPr="002E5EB4">
        <w:rPr>
          <w:rFonts w:cs="Times New Roman"/>
          <w:szCs w:val="22"/>
        </w:rPr>
        <w:t>12.3</w:t>
      </w:r>
      <w:r w:rsidR="00480606" w:rsidRPr="002E5EB4">
        <w:rPr>
          <w:rFonts w:cs="Times New Roman"/>
          <w:szCs w:val="22"/>
        </w:rPr>
        <w:t>% (</w:t>
      </w:r>
      <w:r w:rsidR="008D4047" w:rsidRPr="002E5EB4">
        <w:rPr>
          <w:rFonts w:cs="Times New Roman"/>
          <w:szCs w:val="22"/>
        </w:rPr>
        <w:t>Q934.7 millones</w:t>
      </w:r>
      <w:r w:rsidR="00480606" w:rsidRPr="002E5EB4">
        <w:rPr>
          <w:rFonts w:cs="Times New Roman"/>
          <w:szCs w:val="22"/>
        </w:rPr>
        <w:t>)</w:t>
      </w:r>
      <w:r w:rsidRPr="002E5EB4">
        <w:rPr>
          <w:rFonts w:cs="Times New Roman"/>
          <w:szCs w:val="22"/>
        </w:rPr>
        <w:t xml:space="preserve"> y explicado principalmente por el pago de intereses realizado por el gobierno central presupuestario</w:t>
      </w:r>
      <w:r w:rsidR="004F4E85" w:rsidRPr="002E5EB4">
        <w:rPr>
          <w:rFonts w:cs="Times New Roman"/>
          <w:szCs w:val="22"/>
        </w:rPr>
        <w:t xml:space="preserve"> (99.7%), y la otra parte de los intereses son pagados por </w:t>
      </w:r>
      <w:r w:rsidR="00EC1A92" w:rsidRPr="002E5EB4">
        <w:rPr>
          <w:rFonts w:cs="Times New Roman"/>
          <w:szCs w:val="22"/>
        </w:rPr>
        <w:t xml:space="preserve">los </w:t>
      </w:r>
      <w:r w:rsidRPr="002E5EB4">
        <w:rPr>
          <w:rFonts w:cs="Times New Roman"/>
          <w:szCs w:val="22"/>
        </w:rPr>
        <w:t>gobiernos locales</w:t>
      </w:r>
      <w:r w:rsidR="00EC1A92" w:rsidRPr="002E5EB4">
        <w:rPr>
          <w:rFonts w:cs="Times New Roman"/>
          <w:szCs w:val="22"/>
        </w:rPr>
        <w:t xml:space="preserve"> </w:t>
      </w:r>
      <w:r w:rsidR="008D4047" w:rsidRPr="002E5EB4">
        <w:rPr>
          <w:rFonts w:cs="Times New Roman"/>
          <w:szCs w:val="22"/>
        </w:rPr>
        <w:t>(0.3</w:t>
      </w:r>
      <w:r w:rsidR="00EC1A92" w:rsidRPr="002E5EB4">
        <w:rPr>
          <w:rFonts w:cs="Times New Roman"/>
          <w:szCs w:val="22"/>
        </w:rPr>
        <w:t>%</w:t>
      </w:r>
      <w:r w:rsidR="004F4E85" w:rsidRPr="002E5EB4">
        <w:rPr>
          <w:rFonts w:cs="Times New Roman"/>
          <w:szCs w:val="22"/>
        </w:rPr>
        <w:t xml:space="preserve">) </w:t>
      </w:r>
      <w:r w:rsidR="00ED4CC7" w:rsidRPr="002E5EB4">
        <w:rPr>
          <w:rFonts w:cs="Times New Roman"/>
          <w:szCs w:val="22"/>
        </w:rPr>
        <w:t xml:space="preserve">que se </w:t>
      </w:r>
      <w:r w:rsidR="008D4047" w:rsidRPr="002E5EB4">
        <w:rPr>
          <w:rFonts w:cs="Times New Roman"/>
          <w:szCs w:val="22"/>
        </w:rPr>
        <w:t>pagan por</w:t>
      </w:r>
      <w:r w:rsidR="00BF04D6">
        <w:rPr>
          <w:rFonts w:cs="Times New Roman"/>
          <w:szCs w:val="22"/>
        </w:rPr>
        <w:t xml:space="preserve"> el </w:t>
      </w:r>
      <w:r w:rsidR="00836340" w:rsidRPr="002E5EB4">
        <w:rPr>
          <w:rFonts w:cs="Times New Roman"/>
          <w:szCs w:val="22"/>
        </w:rPr>
        <w:t>financiamiento con acreedores internos</w:t>
      </w:r>
      <w:r w:rsidRPr="002E5EB4">
        <w:rPr>
          <w:rFonts w:cs="Times New Roman"/>
          <w:szCs w:val="22"/>
        </w:rPr>
        <w:t xml:space="preserve">. </w:t>
      </w:r>
      <w:r w:rsidR="004F4E85" w:rsidRPr="002E5EB4">
        <w:rPr>
          <w:rFonts w:cs="Times New Roman"/>
          <w:szCs w:val="22"/>
        </w:rPr>
        <w:t xml:space="preserve"> </w:t>
      </w:r>
    </w:p>
    <w:p w14:paraId="738FB5A0" w14:textId="7E8F72ED" w:rsidR="00186D63" w:rsidRPr="002E5EB4" w:rsidRDefault="00073E1B" w:rsidP="00186D63">
      <w:pPr>
        <w:rPr>
          <w:rFonts w:cs="Times New Roman"/>
          <w:szCs w:val="22"/>
        </w:rPr>
      </w:pPr>
      <w:r w:rsidRPr="002E5EB4">
        <w:rPr>
          <w:rFonts w:cs="Times New Roman"/>
          <w:szCs w:val="22"/>
          <w:lang w:val="es-MX"/>
        </w:rPr>
        <w:t xml:space="preserve">En cuanto a </w:t>
      </w:r>
      <w:r w:rsidR="003065D6" w:rsidRPr="002E5EB4">
        <w:rPr>
          <w:rFonts w:cs="Times New Roman"/>
          <w:szCs w:val="22"/>
          <w:lang w:val="es-MX"/>
        </w:rPr>
        <w:t>las donaciones</w:t>
      </w:r>
      <w:r w:rsidRPr="002E5EB4">
        <w:rPr>
          <w:rFonts w:cs="Times New Roman"/>
          <w:szCs w:val="22"/>
          <w:lang w:val="es-MX"/>
        </w:rPr>
        <w:t xml:space="preserve"> y los subsidios, estas fueron las únicas cuentas económicas que</w:t>
      </w:r>
      <w:r w:rsidR="00A75C0D">
        <w:rPr>
          <w:rFonts w:cs="Times New Roman"/>
          <w:szCs w:val="22"/>
          <w:lang w:val="es-MX"/>
        </w:rPr>
        <w:t xml:space="preserve"> mostraron</w:t>
      </w:r>
      <w:r w:rsidRPr="002E5EB4">
        <w:rPr>
          <w:rFonts w:cs="Times New Roman"/>
          <w:szCs w:val="22"/>
          <w:lang w:val="es-MX"/>
        </w:rPr>
        <w:t xml:space="preserve"> disminuciones</w:t>
      </w:r>
      <w:r w:rsidR="00FD65D0" w:rsidRPr="002E5EB4">
        <w:rPr>
          <w:rFonts w:cs="Times New Roman"/>
          <w:szCs w:val="22"/>
          <w:lang w:val="es-MX"/>
        </w:rPr>
        <w:t xml:space="preserve"> al finalizar el tercer trimestre. Las donaciones </w:t>
      </w:r>
      <w:r w:rsidR="00834A9A">
        <w:rPr>
          <w:rFonts w:cs="Times New Roman"/>
          <w:szCs w:val="22"/>
          <w:lang w:val="es-MX"/>
        </w:rPr>
        <w:t>fueron</w:t>
      </w:r>
      <w:r w:rsidR="00FD65D0" w:rsidRPr="002E5EB4">
        <w:rPr>
          <w:rFonts w:cs="Times New Roman"/>
          <w:szCs w:val="22"/>
          <w:lang w:val="es-MX"/>
        </w:rPr>
        <w:t xml:space="preserve"> </w:t>
      </w:r>
      <w:r w:rsidR="003065D6" w:rsidRPr="002E5EB4">
        <w:rPr>
          <w:rFonts w:cs="Times New Roman"/>
          <w:szCs w:val="22"/>
          <w:lang w:val="es-MX"/>
        </w:rPr>
        <w:t>de Q</w:t>
      </w:r>
      <w:r w:rsidR="00FD65D0" w:rsidRPr="002E5EB4">
        <w:rPr>
          <w:rFonts w:cs="Times New Roman"/>
          <w:szCs w:val="22"/>
          <w:lang w:val="es-MX"/>
        </w:rPr>
        <w:t xml:space="preserve">350.1 </w:t>
      </w:r>
      <w:r w:rsidR="00133625" w:rsidRPr="002E5EB4">
        <w:rPr>
          <w:rFonts w:cs="Times New Roman"/>
          <w:szCs w:val="22"/>
          <w:lang w:val="es-MX"/>
        </w:rPr>
        <w:t>millones</w:t>
      </w:r>
      <w:r w:rsidR="00A75C0D">
        <w:rPr>
          <w:rFonts w:cs="Times New Roman"/>
          <w:szCs w:val="22"/>
          <w:lang w:val="es-MX"/>
        </w:rPr>
        <w:t>,</w:t>
      </w:r>
      <w:r w:rsidR="00133625" w:rsidRPr="002E5EB4">
        <w:rPr>
          <w:rFonts w:cs="Times New Roman"/>
          <w:szCs w:val="22"/>
          <w:lang w:val="es-MX"/>
        </w:rPr>
        <w:t xml:space="preserve"> </w:t>
      </w:r>
      <w:r w:rsidR="00FD65D0" w:rsidRPr="002E5EB4">
        <w:rPr>
          <w:rFonts w:cs="Times New Roman"/>
          <w:szCs w:val="22"/>
          <w:lang w:val="es-MX"/>
        </w:rPr>
        <w:t>con</w:t>
      </w:r>
      <w:r w:rsidR="00133625" w:rsidRPr="002E5EB4">
        <w:rPr>
          <w:rFonts w:cs="Times New Roman"/>
          <w:szCs w:val="22"/>
          <w:lang w:val="es-MX"/>
        </w:rPr>
        <w:t xml:space="preserve"> una disminución del </w:t>
      </w:r>
      <w:r w:rsidR="000E76F1" w:rsidRPr="002E5EB4">
        <w:rPr>
          <w:rFonts w:cs="Times New Roman"/>
          <w:szCs w:val="22"/>
          <w:lang w:val="es-MX"/>
        </w:rPr>
        <w:t>2</w:t>
      </w:r>
      <w:r w:rsidR="00D0486B" w:rsidRPr="002E5EB4">
        <w:rPr>
          <w:rFonts w:cs="Times New Roman"/>
          <w:szCs w:val="22"/>
          <w:lang w:val="es-MX"/>
        </w:rPr>
        <w:t>0</w:t>
      </w:r>
      <w:r w:rsidR="000E76F1" w:rsidRPr="002E5EB4">
        <w:rPr>
          <w:rFonts w:cs="Times New Roman"/>
          <w:szCs w:val="22"/>
          <w:lang w:val="es-MX"/>
        </w:rPr>
        <w:t>.</w:t>
      </w:r>
      <w:r w:rsidR="00D0486B" w:rsidRPr="002E5EB4">
        <w:rPr>
          <w:rFonts w:cs="Times New Roman"/>
          <w:szCs w:val="22"/>
          <w:lang w:val="es-MX"/>
        </w:rPr>
        <w:t>2</w:t>
      </w:r>
      <w:r w:rsidR="000E76F1" w:rsidRPr="002E5EB4">
        <w:rPr>
          <w:rFonts w:cs="Times New Roman"/>
          <w:szCs w:val="22"/>
          <w:lang w:val="es-MX"/>
        </w:rPr>
        <w:t>% (Q</w:t>
      </w:r>
      <w:r w:rsidR="00D0486B" w:rsidRPr="002E5EB4">
        <w:rPr>
          <w:rFonts w:cs="Times New Roman"/>
          <w:szCs w:val="22"/>
          <w:lang w:val="es-MX"/>
        </w:rPr>
        <w:t>88.6</w:t>
      </w:r>
      <w:r w:rsidR="000E76F1" w:rsidRPr="002E5EB4">
        <w:rPr>
          <w:rFonts w:cs="Times New Roman"/>
          <w:szCs w:val="22"/>
          <w:lang w:val="es-MX"/>
        </w:rPr>
        <w:t xml:space="preserve"> millones)</w:t>
      </w:r>
      <w:r w:rsidR="00252F8C" w:rsidRPr="002E5EB4">
        <w:rPr>
          <w:rFonts w:cs="Times New Roman"/>
          <w:szCs w:val="22"/>
          <w:lang w:val="es-MX"/>
        </w:rPr>
        <w:t xml:space="preserve"> respecto al año previo</w:t>
      </w:r>
      <w:r w:rsidR="00D0486B" w:rsidRPr="002E5EB4">
        <w:rPr>
          <w:rFonts w:cs="Times New Roman"/>
          <w:szCs w:val="22"/>
          <w:lang w:val="es-MX"/>
        </w:rPr>
        <w:t>, mientras que los</w:t>
      </w:r>
      <w:r w:rsidR="000E76F1" w:rsidRPr="002E5EB4">
        <w:rPr>
          <w:rFonts w:cs="Times New Roman"/>
          <w:szCs w:val="22"/>
          <w:lang w:val="es-MX"/>
        </w:rPr>
        <w:t xml:space="preserve"> subsidios </w:t>
      </w:r>
      <w:r w:rsidR="00D0486B" w:rsidRPr="002E5EB4">
        <w:rPr>
          <w:rFonts w:cs="Times New Roman"/>
          <w:szCs w:val="22"/>
          <w:lang w:val="es-MX"/>
        </w:rPr>
        <w:t xml:space="preserve">se situaron en </w:t>
      </w:r>
      <w:r w:rsidR="000E76F1" w:rsidRPr="002E5EB4">
        <w:rPr>
          <w:rFonts w:cs="Times New Roman"/>
          <w:szCs w:val="22"/>
          <w:lang w:val="es-MX"/>
        </w:rPr>
        <w:t>Q</w:t>
      </w:r>
      <w:r w:rsidR="00366F7B" w:rsidRPr="002E5EB4">
        <w:rPr>
          <w:rFonts w:cs="Times New Roman"/>
          <w:szCs w:val="22"/>
          <w:lang w:val="es-MX"/>
        </w:rPr>
        <w:t>1,106.1</w:t>
      </w:r>
      <w:r w:rsidR="00D0486B" w:rsidRPr="002E5EB4">
        <w:rPr>
          <w:rFonts w:cs="Times New Roman"/>
          <w:szCs w:val="22"/>
          <w:lang w:val="es-MX"/>
        </w:rPr>
        <w:t xml:space="preserve"> </w:t>
      </w:r>
      <w:r w:rsidR="000E76F1" w:rsidRPr="002E5EB4">
        <w:rPr>
          <w:rFonts w:cs="Times New Roman"/>
          <w:szCs w:val="22"/>
          <w:lang w:val="es-MX"/>
        </w:rPr>
        <w:t>millones</w:t>
      </w:r>
      <w:r w:rsidR="00A75C0D">
        <w:rPr>
          <w:rFonts w:cs="Times New Roman"/>
          <w:szCs w:val="22"/>
          <w:lang w:val="es-MX"/>
        </w:rPr>
        <w:t>,</w:t>
      </w:r>
      <w:r w:rsidR="000E76F1" w:rsidRPr="002E5EB4">
        <w:rPr>
          <w:rFonts w:cs="Times New Roman"/>
          <w:szCs w:val="22"/>
          <w:lang w:val="es-MX"/>
        </w:rPr>
        <w:t xml:space="preserve"> </w:t>
      </w:r>
      <w:r w:rsidR="00366F7B" w:rsidRPr="002E5EB4">
        <w:rPr>
          <w:rFonts w:cs="Times New Roman"/>
          <w:szCs w:val="22"/>
          <w:lang w:val="es-MX"/>
        </w:rPr>
        <w:t>siendo menor por un</w:t>
      </w:r>
      <w:r w:rsidR="00EE3931" w:rsidRPr="002E5EB4">
        <w:rPr>
          <w:rFonts w:cs="Times New Roman"/>
          <w:szCs w:val="22"/>
          <w:lang w:val="es-MX"/>
        </w:rPr>
        <w:t xml:space="preserve"> 6</w:t>
      </w:r>
      <w:r w:rsidR="00366F7B" w:rsidRPr="002E5EB4">
        <w:rPr>
          <w:rFonts w:cs="Times New Roman"/>
          <w:szCs w:val="22"/>
          <w:lang w:val="es-MX"/>
        </w:rPr>
        <w:t>6</w:t>
      </w:r>
      <w:r w:rsidR="00EE3931" w:rsidRPr="002E5EB4">
        <w:rPr>
          <w:rFonts w:cs="Times New Roman"/>
          <w:szCs w:val="22"/>
          <w:lang w:val="es-MX"/>
        </w:rPr>
        <w:t>.</w:t>
      </w:r>
      <w:r w:rsidR="00366F7B" w:rsidRPr="002E5EB4">
        <w:rPr>
          <w:rFonts w:cs="Times New Roman"/>
          <w:szCs w:val="22"/>
          <w:lang w:val="es-MX"/>
        </w:rPr>
        <w:t>2</w:t>
      </w:r>
      <w:r w:rsidR="00EE3931" w:rsidRPr="002E5EB4">
        <w:rPr>
          <w:rFonts w:cs="Times New Roman"/>
          <w:szCs w:val="22"/>
          <w:lang w:val="es-MX"/>
        </w:rPr>
        <w:t>% (Q</w:t>
      </w:r>
      <w:r w:rsidR="00366F7B" w:rsidRPr="002E5EB4">
        <w:rPr>
          <w:rFonts w:cs="Times New Roman"/>
          <w:szCs w:val="22"/>
          <w:lang w:val="es-MX"/>
        </w:rPr>
        <w:t>2,170.1</w:t>
      </w:r>
      <w:r w:rsidR="00EE3931" w:rsidRPr="002E5EB4">
        <w:rPr>
          <w:rFonts w:cs="Times New Roman"/>
          <w:szCs w:val="22"/>
          <w:lang w:val="es-MX"/>
        </w:rPr>
        <w:t xml:space="preserve"> millones)</w:t>
      </w:r>
      <w:r w:rsidR="00C51F90" w:rsidRPr="002E5EB4">
        <w:rPr>
          <w:rFonts w:cs="Times New Roman"/>
          <w:szCs w:val="22"/>
          <w:lang w:val="es-MX"/>
        </w:rPr>
        <w:t xml:space="preserve"> a lo cual c</w:t>
      </w:r>
      <w:r w:rsidR="00FF6B82" w:rsidRPr="002E5EB4">
        <w:rPr>
          <w:rFonts w:cs="Times New Roman"/>
          <w:szCs w:val="22"/>
          <w:lang w:val="es-MX"/>
        </w:rPr>
        <w:t xml:space="preserve">abe mencionar </w:t>
      </w:r>
      <w:r w:rsidR="00C51F90" w:rsidRPr="002E5EB4">
        <w:rPr>
          <w:rFonts w:cs="Times New Roman"/>
          <w:szCs w:val="22"/>
          <w:lang w:val="es-MX"/>
        </w:rPr>
        <w:t xml:space="preserve">es producto de los </w:t>
      </w:r>
      <w:r w:rsidR="00186D63" w:rsidRPr="002E5EB4">
        <w:rPr>
          <w:rFonts w:cs="Times New Roman"/>
          <w:szCs w:val="22"/>
        </w:rPr>
        <w:t xml:space="preserve">subsidios </w:t>
      </w:r>
      <w:r w:rsidR="00ED4CC7" w:rsidRPr="002E5EB4">
        <w:rPr>
          <w:rFonts w:cs="Times New Roman"/>
          <w:szCs w:val="22"/>
        </w:rPr>
        <w:t xml:space="preserve">temporales </w:t>
      </w:r>
      <w:r w:rsidR="00186D63" w:rsidRPr="002E5EB4">
        <w:rPr>
          <w:rFonts w:cs="Times New Roman"/>
          <w:szCs w:val="22"/>
        </w:rPr>
        <w:t xml:space="preserve">que se </w:t>
      </w:r>
      <w:r w:rsidR="0058267C" w:rsidRPr="002E5EB4">
        <w:rPr>
          <w:rFonts w:cs="Times New Roman"/>
          <w:szCs w:val="22"/>
        </w:rPr>
        <w:t>otorg</w:t>
      </w:r>
      <w:r w:rsidR="0058267C">
        <w:rPr>
          <w:rStyle w:val="Refdecomentario"/>
        </w:rPr>
        <w:t>a</w:t>
      </w:r>
      <w:r w:rsidR="0058267C">
        <w:rPr>
          <w:rFonts w:cs="Times New Roman"/>
          <w:szCs w:val="22"/>
        </w:rPr>
        <w:t>ron</w:t>
      </w:r>
      <w:r w:rsidR="001D7418" w:rsidRPr="002E5EB4">
        <w:rPr>
          <w:rFonts w:cs="Times New Roman"/>
          <w:szCs w:val="22"/>
        </w:rPr>
        <w:t xml:space="preserve"> </w:t>
      </w:r>
      <w:r w:rsidR="00A75C0D">
        <w:rPr>
          <w:rFonts w:cs="Times New Roman"/>
          <w:szCs w:val="22"/>
        </w:rPr>
        <w:t xml:space="preserve">en 2022 </w:t>
      </w:r>
      <w:r w:rsidR="00186D63" w:rsidRPr="002E5EB4">
        <w:rPr>
          <w:rFonts w:cs="Times New Roman"/>
          <w:szCs w:val="22"/>
        </w:rPr>
        <w:t>a</w:t>
      </w:r>
      <w:r w:rsidR="00650DA1" w:rsidRPr="002E5EB4">
        <w:rPr>
          <w:rFonts w:cs="Times New Roman"/>
          <w:szCs w:val="22"/>
        </w:rPr>
        <w:t xml:space="preserve"> </w:t>
      </w:r>
      <w:r w:rsidR="00A75C0D">
        <w:rPr>
          <w:rFonts w:cs="Times New Roman"/>
          <w:szCs w:val="22"/>
        </w:rPr>
        <w:t>las gasolinas y diésel,</w:t>
      </w:r>
      <w:r w:rsidR="00650DA1" w:rsidRPr="002E5EB4">
        <w:rPr>
          <w:rFonts w:cs="Times New Roman"/>
          <w:szCs w:val="22"/>
        </w:rPr>
        <w:t xml:space="preserve"> </w:t>
      </w:r>
      <w:r w:rsidR="00195403" w:rsidRPr="002E5EB4">
        <w:rPr>
          <w:rFonts w:cs="Times New Roman"/>
          <w:szCs w:val="22"/>
        </w:rPr>
        <w:t xml:space="preserve">por parte </w:t>
      </w:r>
      <w:r w:rsidR="00186D63" w:rsidRPr="002E5EB4">
        <w:rPr>
          <w:rFonts w:cs="Times New Roman"/>
          <w:szCs w:val="22"/>
        </w:rPr>
        <w:t>gobierno central presupuestario</w:t>
      </w:r>
      <w:r w:rsidR="00A75C0D">
        <w:rPr>
          <w:rFonts w:cs="Times New Roman"/>
          <w:szCs w:val="22"/>
        </w:rPr>
        <w:t>,</w:t>
      </w:r>
      <w:r w:rsidR="001D7418" w:rsidRPr="002E5EB4">
        <w:rPr>
          <w:rFonts w:cs="Times New Roman"/>
          <w:szCs w:val="22"/>
        </w:rPr>
        <w:t xml:space="preserve"> </w:t>
      </w:r>
      <w:r w:rsidR="00A75C0D">
        <w:rPr>
          <w:rFonts w:cs="Times New Roman"/>
          <w:szCs w:val="22"/>
        </w:rPr>
        <w:t xml:space="preserve">situación que </w:t>
      </w:r>
      <w:r w:rsidR="00ED4CC7" w:rsidRPr="002E5EB4">
        <w:rPr>
          <w:rFonts w:cs="Times New Roman"/>
          <w:szCs w:val="22"/>
        </w:rPr>
        <w:t xml:space="preserve">no se </w:t>
      </w:r>
      <w:r w:rsidR="00A75C0D">
        <w:rPr>
          <w:rFonts w:cs="Times New Roman"/>
          <w:szCs w:val="22"/>
        </w:rPr>
        <w:t>replicó</w:t>
      </w:r>
      <w:r w:rsidR="006D0B97" w:rsidRPr="002E5EB4">
        <w:rPr>
          <w:rFonts w:cs="Times New Roman"/>
          <w:szCs w:val="22"/>
        </w:rPr>
        <w:t xml:space="preserve"> en </w:t>
      </w:r>
      <w:r w:rsidR="001D7418" w:rsidRPr="002E5EB4">
        <w:rPr>
          <w:rFonts w:cs="Times New Roman"/>
          <w:szCs w:val="22"/>
        </w:rPr>
        <w:t>2023.</w:t>
      </w:r>
      <w:r w:rsidR="00186D63" w:rsidRPr="002E5EB4">
        <w:rPr>
          <w:rFonts w:cs="Times New Roman"/>
          <w:szCs w:val="22"/>
        </w:rPr>
        <w:t xml:space="preserve"> </w:t>
      </w:r>
    </w:p>
    <w:p w14:paraId="16EB6D88" w14:textId="77777777" w:rsidR="004737F1" w:rsidRPr="002E5EB4" w:rsidRDefault="004737F1" w:rsidP="00186D63">
      <w:pPr>
        <w:rPr>
          <w:rFonts w:cs="Times New Roman"/>
          <w:szCs w:val="22"/>
        </w:rPr>
      </w:pPr>
    </w:p>
    <w:p w14:paraId="4E1E7B91" w14:textId="4C1BD057" w:rsidR="008B2529" w:rsidRPr="002E5EB4" w:rsidRDefault="006122C1" w:rsidP="00C701B2">
      <w:pPr>
        <w:pStyle w:val="Ttulo1"/>
        <w:numPr>
          <w:ilvl w:val="0"/>
          <w:numId w:val="12"/>
        </w:numPr>
        <w:rPr>
          <w:lang w:val="es-MX"/>
        </w:rPr>
      </w:pPr>
      <w:bookmarkStart w:id="753" w:name="_Toc42023961"/>
      <w:bookmarkStart w:id="754" w:name="_Toc42024013"/>
      <w:bookmarkStart w:id="755" w:name="_Toc411347499"/>
      <w:bookmarkStart w:id="756" w:name="_Toc154158272"/>
      <w:bookmarkEnd w:id="753"/>
      <w:bookmarkEnd w:id="754"/>
      <w:r w:rsidRPr="002E5EB4">
        <w:rPr>
          <w:lang w:val="es-MX"/>
        </w:rPr>
        <w:lastRenderedPageBreak/>
        <w:t xml:space="preserve">Transacciones en Activos </w:t>
      </w:r>
      <w:r w:rsidR="00F4077C" w:rsidRPr="002E5EB4">
        <w:rPr>
          <w:lang w:val="es-MX"/>
        </w:rPr>
        <w:t>No Financieros</w:t>
      </w:r>
      <w:bookmarkEnd w:id="756"/>
    </w:p>
    <w:p w14:paraId="36A443F6" w14:textId="3A7BB2BC" w:rsidR="000F462B" w:rsidRPr="002E5EB4" w:rsidRDefault="00DD4896" w:rsidP="000F462B">
      <w:pPr>
        <w:pStyle w:val="Ttulo2"/>
        <w:numPr>
          <w:ilvl w:val="1"/>
          <w:numId w:val="12"/>
        </w:numPr>
        <w:tabs>
          <w:tab w:val="left" w:pos="426"/>
        </w:tabs>
        <w:spacing w:before="0"/>
        <w:ind w:left="284" w:hanging="284"/>
        <w:rPr>
          <w:rFonts w:cs="Times New Roman"/>
          <w:sz w:val="22"/>
          <w:szCs w:val="22"/>
        </w:rPr>
      </w:pPr>
      <w:bookmarkStart w:id="757" w:name="_Toc33109793"/>
      <w:bookmarkStart w:id="758" w:name="_Toc33109836"/>
      <w:bookmarkStart w:id="759" w:name="_Toc33180557"/>
      <w:bookmarkStart w:id="760" w:name="_Toc33180651"/>
      <w:bookmarkStart w:id="761" w:name="_Toc33193548"/>
      <w:bookmarkStart w:id="762" w:name="_Toc33193587"/>
      <w:bookmarkStart w:id="763" w:name="_Toc33196784"/>
      <w:bookmarkStart w:id="764" w:name="_Toc40691760"/>
      <w:bookmarkStart w:id="765" w:name="_Toc40959160"/>
      <w:bookmarkStart w:id="766" w:name="_Toc40975994"/>
      <w:bookmarkStart w:id="767" w:name="_Toc40976063"/>
      <w:bookmarkStart w:id="768" w:name="_Toc40993318"/>
      <w:bookmarkStart w:id="769" w:name="_Toc40993700"/>
      <w:bookmarkStart w:id="770" w:name="_Toc41037576"/>
      <w:bookmarkStart w:id="771" w:name="_Toc41254136"/>
      <w:bookmarkStart w:id="772" w:name="_Toc41254168"/>
      <w:bookmarkStart w:id="773" w:name="_Toc41254188"/>
      <w:bookmarkStart w:id="774" w:name="_Toc42023964"/>
      <w:bookmarkStart w:id="775" w:name="_Toc42024015"/>
      <w:bookmarkStart w:id="776" w:name="_Toc42069112"/>
      <w:bookmarkStart w:id="777" w:name="_Toc49422058"/>
      <w:bookmarkStart w:id="778" w:name="_Toc49422084"/>
      <w:bookmarkStart w:id="779" w:name="_Toc49430663"/>
      <w:bookmarkStart w:id="780" w:name="_Toc49430689"/>
      <w:bookmarkStart w:id="781" w:name="_Toc49750466"/>
      <w:bookmarkStart w:id="782" w:name="_Toc49750716"/>
      <w:bookmarkStart w:id="783" w:name="_Toc49750744"/>
      <w:bookmarkStart w:id="784" w:name="_Toc55284830"/>
      <w:bookmarkStart w:id="785" w:name="_Toc55298848"/>
      <w:bookmarkStart w:id="786" w:name="_Toc55373829"/>
      <w:bookmarkStart w:id="787" w:name="_Toc55374002"/>
      <w:bookmarkStart w:id="788" w:name="_Toc55375139"/>
      <w:bookmarkStart w:id="789" w:name="_Toc55396547"/>
      <w:bookmarkStart w:id="790" w:name="_Toc65230544"/>
      <w:bookmarkStart w:id="791" w:name="_Toc65230782"/>
      <w:bookmarkStart w:id="792" w:name="_Toc65232066"/>
      <w:bookmarkStart w:id="793" w:name="_Toc65232311"/>
      <w:bookmarkStart w:id="794" w:name="_Toc66716170"/>
      <w:bookmarkStart w:id="795" w:name="_Toc71097214"/>
      <w:bookmarkStart w:id="796" w:name="_Toc71097245"/>
      <w:bookmarkStart w:id="797" w:name="_Toc71097320"/>
      <w:bookmarkStart w:id="798" w:name="_Toc71108060"/>
      <w:bookmarkStart w:id="799" w:name="_Toc79055254"/>
      <w:bookmarkStart w:id="800" w:name="_Toc79055285"/>
      <w:bookmarkStart w:id="801" w:name="_Toc79060176"/>
      <w:bookmarkStart w:id="802" w:name="_Toc79060463"/>
      <w:bookmarkStart w:id="803" w:name="_Toc81307820"/>
      <w:bookmarkStart w:id="804" w:name="_Toc83376481"/>
      <w:bookmarkStart w:id="805" w:name="_Toc86386720"/>
      <w:bookmarkStart w:id="806" w:name="_Toc86405406"/>
      <w:bookmarkStart w:id="807" w:name="_Toc98162436"/>
      <w:bookmarkStart w:id="808" w:name="_Toc98162468"/>
      <w:bookmarkStart w:id="809" w:name="_Toc98234994"/>
      <w:bookmarkStart w:id="810" w:name="_Toc98235189"/>
      <w:bookmarkStart w:id="811" w:name="_Toc98235274"/>
      <w:bookmarkStart w:id="812" w:name="_Toc98757144"/>
      <w:bookmarkStart w:id="813" w:name="_Toc101874699"/>
      <w:bookmarkStart w:id="814" w:name="_Toc101954155"/>
      <w:bookmarkStart w:id="815" w:name="_Toc101971972"/>
      <w:bookmarkStart w:id="816" w:name="_Toc101974064"/>
      <w:bookmarkStart w:id="817" w:name="_Toc102039749"/>
      <w:bookmarkStart w:id="818" w:name="_Toc102039787"/>
      <w:bookmarkStart w:id="819" w:name="_Toc102039827"/>
      <w:bookmarkStart w:id="820" w:name="_Toc102039858"/>
      <w:bookmarkStart w:id="821" w:name="_Toc102040916"/>
      <w:bookmarkStart w:id="822" w:name="_Toc102477764"/>
      <w:bookmarkStart w:id="823" w:name="_Toc102477795"/>
      <w:bookmarkStart w:id="824" w:name="_Toc109824825"/>
      <w:bookmarkStart w:id="825" w:name="_Toc109828781"/>
      <w:bookmarkStart w:id="826" w:name="_Toc109828844"/>
      <w:bookmarkStart w:id="827" w:name="_Toc109829020"/>
      <w:bookmarkStart w:id="828" w:name="_Toc109829051"/>
      <w:bookmarkStart w:id="829" w:name="_Toc109833895"/>
      <w:bookmarkStart w:id="830" w:name="_Toc110237438"/>
      <w:bookmarkStart w:id="831" w:name="_Toc117775315"/>
      <w:bookmarkStart w:id="832" w:name="_Toc117781284"/>
      <w:bookmarkStart w:id="833" w:name="_Toc125620813"/>
      <w:bookmarkStart w:id="834" w:name="_Toc125620844"/>
      <w:bookmarkStart w:id="835" w:name="_Toc125620875"/>
      <w:bookmarkStart w:id="836" w:name="_Toc125620911"/>
      <w:bookmarkStart w:id="837" w:name="_Toc125620942"/>
      <w:bookmarkStart w:id="838" w:name="_Toc125620975"/>
      <w:bookmarkStart w:id="839" w:name="_Toc125621028"/>
      <w:bookmarkStart w:id="840" w:name="_Toc125621082"/>
      <w:bookmarkStart w:id="841" w:name="_Toc125623560"/>
      <w:bookmarkStart w:id="842" w:name="_Toc125623592"/>
      <w:bookmarkStart w:id="843" w:name="_Toc125623624"/>
      <w:bookmarkStart w:id="844" w:name="_Toc125970370"/>
      <w:bookmarkStart w:id="845" w:name="_Toc125970402"/>
      <w:bookmarkStart w:id="846" w:name="_Toc127365853"/>
      <w:bookmarkStart w:id="847" w:name="_Toc127434604"/>
      <w:bookmarkStart w:id="848" w:name="_Toc127436972"/>
      <w:bookmarkStart w:id="849" w:name="_Toc127437333"/>
      <w:bookmarkStart w:id="850" w:name="_Toc127437688"/>
      <w:bookmarkStart w:id="851" w:name="_Toc154158273"/>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2E5EB4">
        <w:rPr>
          <w:rFonts w:cs="Times New Roman"/>
          <w:sz w:val="22"/>
          <w:szCs w:val="22"/>
        </w:rPr>
        <w:t>Continúa aumentando la inversión</w:t>
      </w:r>
      <w:bookmarkEnd w:id="851"/>
    </w:p>
    <w:p w14:paraId="461BE89E" w14:textId="024FD36E" w:rsidR="00F923CA" w:rsidRPr="002E5EB4" w:rsidRDefault="003936E8" w:rsidP="00AC237D">
      <w:r w:rsidRPr="002E5EB4">
        <w:rPr>
          <w:rFonts w:eastAsiaTheme="majorEastAsia"/>
          <w:noProof/>
          <w:lang w:eastAsia="es-GT"/>
        </w:rPr>
        <w:drawing>
          <wp:anchor distT="0" distB="0" distL="114300" distR="114300" simplePos="0" relativeHeight="251658251" behindDoc="0" locked="0" layoutInCell="1" allowOverlap="1" wp14:anchorId="47E7C073" wp14:editId="7B59397B">
            <wp:simplePos x="0" y="0"/>
            <wp:positionH relativeFrom="margin">
              <wp:posOffset>2923540</wp:posOffset>
            </wp:positionH>
            <wp:positionV relativeFrom="paragraph">
              <wp:posOffset>62230</wp:posOffset>
            </wp:positionV>
            <wp:extent cx="3078480" cy="1586865"/>
            <wp:effectExtent l="57150" t="0" r="121920" b="0"/>
            <wp:wrapSquare wrapText="bothSides"/>
            <wp:docPr id="1993548429" name="Diagrama 19935484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041E08" w:rsidRPr="002E5EB4">
        <w:t>La</w:t>
      </w:r>
      <w:r w:rsidR="00AC237D" w:rsidRPr="002E5EB4">
        <w:t xml:space="preserve"> inversión bruta en activos no financieros </w:t>
      </w:r>
      <w:r w:rsidR="00041E08" w:rsidRPr="002E5EB4">
        <w:t xml:space="preserve">al finalizar el </w:t>
      </w:r>
      <w:r w:rsidR="001F24E4" w:rsidRPr="002E5EB4">
        <w:t>tercer</w:t>
      </w:r>
      <w:r w:rsidR="00041E08" w:rsidRPr="002E5EB4">
        <w:t xml:space="preserve"> trimestre asciende a </w:t>
      </w:r>
      <w:r w:rsidR="00AC237D" w:rsidRPr="002E5EB4">
        <w:t>Q</w:t>
      </w:r>
      <w:r w:rsidR="0082397E" w:rsidRPr="002E5EB4">
        <w:t>13,107.7</w:t>
      </w:r>
      <w:r w:rsidR="003B3195" w:rsidRPr="002E5EB4">
        <w:t xml:space="preserve"> </w:t>
      </w:r>
      <w:r w:rsidR="00AC237D" w:rsidRPr="002E5EB4">
        <w:t xml:space="preserve">millones, </w:t>
      </w:r>
      <w:r w:rsidR="003B3195" w:rsidRPr="002E5EB4">
        <w:t xml:space="preserve">siendo </w:t>
      </w:r>
      <w:r w:rsidR="0082397E" w:rsidRPr="002E5EB4">
        <w:t xml:space="preserve">este un </w:t>
      </w:r>
      <w:r w:rsidR="00EB684C" w:rsidRPr="002E5EB4">
        <w:t>incremento</w:t>
      </w:r>
      <w:r w:rsidR="00F923CA" w:rsidRPr="002E5EB4">
        <w:t xml:space="preserve"> </w:t>
      </w:r>
      <w:r w:rsidR="003B3195" w:rsidRPr="002E5EB4">
        <w:t xml:space="preserve">del </w:t>
      </w:r>
      <w:r w:rsidR="00EB684C" w:rsidRPr="002E5EB4">
        <w:t>33.6%</w:t>
      </w:r>
      <w:r w:rsidR="00F923CA" w:rsidRPr="002E5EB4">
        <w:t xml:space="preserve"> (</w:t>
      </w:r>
      <w:r w:rsidR="00AC237D" w:rsidRPr="002E5EB4">
        <w:t>Q</w:t>
      </w:r>
      <w:r w:rsidR="00EB684C" w:rsidRPr="002E5EB4">
        <w:t>3,299.5</w:t>
      </w:r>
      <w:r w:rsidR="00F923CA" w:rsidRPr="002E5EB4">
        <w:t xml:space="preserve"> </w:t>
      </w:r>
      <w:r w:rsidR="00AC237D" w:rsidRPr="002E5EB4">
        <w:t>millones)</w:t>
      </w:r>
      <w:r w:rsidR="00EB684C" w:rsidRPr="002E5EB4">
        <w:t xml:space="preserve"> respecto a lo observado en el año previo</w:t>
      </w:r>
      <w:r w:rsidR="00AC237D" w:rsidRPr="002E5EB4">
        <w:t xml:space="preserve">. </w:t>
      </w:r>
    </w:p>
    <w:p w14:paraId="3B0E53B4" w14:textId="3933C1A1" w:rsidR="00AC237D" w:rsidRPr="002E5EB4" w:rsidRDefault="00824E76" w:rsidP="00AC237D">
      <w:r w:rsidRPr="002E5EB4">
        <w:t>L</w:t>
      </w:r>
      <w:r w:rsidR="00AC237D" w:rsidRPr="002E5EB4">
        <w:t>os gobiernos locales</w:t>
      </w:r>
      <w:r w:rsidR="00F923CA" w:rsidRPr="002E5EB4">
        <w:t xml:space="preserve"> son quienes han realizado la mayor parte de la inversión</w:t>
      </w:r>
      <w:r w:rsidR="002B0422" w:rsidRPr="002E5EB4">
        <w:t>,</w:t>
      </w:r>
      <w:r w:rsidR="00F923CA" w:rsidRPr="002E5EB4">
        <w:t xml:space="preserve"> </w:t>
      </w:r>
      <w:r w:rsidR="0087320E" w:rsidRPr="002E5EB4">
        <w:t>est</w:t>
      </w:r>
      <w:r w:rsidR="00450EBB">
        <w:t>a</w:t>
      </w:r>
      <w:r w:rsidR="002B0422" w:rsidRPr="002E5EB4">
        <w:t xml:space="preserve"> representa</w:t>
      </w:r>
      <w:r w:rsidR="00ED4CC7" w:rsidRPr="002E5EB4">
        <w:t xml:space="preserve"> </w:t>
      </w:r>
      <w:r w:rsidR="00F923CA" w:rsidRPr="002E5EB4">
        <w:t>el</w:t>
      </w:r>
      <w:r w:rsidR="00AC237D" w:rsidRPr="002E5EB4">
        <w:t xml:space="preserve"> 6</w:t>
      </w:r>
      <w:r w:rsidR="0087320E" w:rsidRPr="002E5EB4">
        <w:t>7</w:t>
      </w:r>
      <w:r w:rsidR="00AC237D" w:rsidRPr="002E5EB4">
        <w:t>.</w:t>
      </w:r>
      <w:r w:rsidR="0087320E" w:rsidRPr="002E5EB4">
        <w:t>0</w:t>
      </w:r>
      <w:r w:rsidR="00AC237D" w:rsidRPr="002E5EB4">
        <w:t>% de</w:t>
      </w:r>
      <w:r w:rsidR="00FC29D4" w:rsidRPr="002E5EB4">
        <w:t xml:space="preserve">l total de la inversión realizada </w:t>
      </w:r>
      <w:r w:rsidR="00083DC1" w:rsidRPr="002E5EB4">
        <w:t>por el gobierno general</w:t>
      </w:r>
      <w:r w:rsidR="00AC237D" w:rsidRPr="002E5EB4">
        <w:t>, seguido del gobierno central presupuestario</w:t>
      </w:r>
      <w:r w:rsidR="00083DC1" w:rsidRPr="002E5EB4">
        <w:t xml:space="preserve"> con una participación del 2</w:t>
      </w:r>
      <w:r w:rsidR="002B0422" w:rsidRPr="002E5EB4">
        <w:t>7</w:t>
      </w:r>
      <w:r w:rsidR="00083DC1" w:rsidRPr="002E5EB4">
        <w:t>.</w:t>
      </w:r>
      <w:r w:rsidR="002B0422" w:rsidRPr="002E5EB4">
        <w:t>4</w:t>
      </w:r>
      <w:r w:rsidR="00AC237D" w:rsidRPr="002E5EB4">
        <w:t>%,</w:t>
      </w:r>
      <w:r w:rsidR="000B2481" w:rsidRPr="002E5EB4">
        <w:t xml:space="preserve"> el gobierno central extrapresupuestario realizó el </w:t>
      </w:r>
      <w:r w:rsidR="002B0422" w:rsidRPr="002E5EB4">
        <w:t>4</w:t>
      </w:r>
      <w:r w:rsidR="000B2481" w:rsidRPr="002E5EB4">
        <w:t>.</w:t>
      </w:r>
      <w:r w:rsidR="002B0422" w:rsidRPr="002E5EB4">
        <w:t>1</w:t>
      </w:r>
      <w:r w:rsidR="000B2481" w:rsidRPr="002E5EB4">
        <w:t xml:space="preserve">% y </w:t>
      </w:r>
      <w:r w:rsidR="00AC237D" w:rsidRPr="002E5EB4">
        <w:t>los fondos de seguridad social ejecuta</w:t>
      </w:r>
      <w:r w:rsidR="000B2481" w:rsidRPr="002E5EB4">
        <w:t>ron</w:t>
      </w:r>
      <w:r w:rsidR="00AC237D" w:rsidRPr="002E5EB4">
        <w:t xml:space="preserve"> </w:t>
      </w:r>
      <w:r w:rsidR="000B2481" w:rsidRPr="002E5EB4">
        <w:t xml:space="preserve">el </w:t>
      </w:r>
      <w:r w:rsidR="00627D07" w:rsidRPr="002E5EB4">
        <w:t>1</w:t>
      </w:r>
      <w:r w:rsidR="00AC237D" w:rsidRPr="002E5EB4">
        <w:t>.</w:t>
      </w:r>
      <w:r w:rsidR="00627D07" w:rsidRPr="002E5EB4">
        <w:t>5</w:t>
      </w:r>
      <w:r w:rsidR="00AC237D" w:rsidRPr="002E5EB4">
        <w:t xml:space="preserve">% </w:t>
      </w:r>
      <w:r w:rsidR="000B2481" w:rsidRPr="002E5EB4">
        <w:t>restante</w:t>
      </w:r>
      <w:r w:rsidR="00AC237D" w:rsidRPr="002E5EB4">
        <w:t>.</w:t>
      </w:r>
    </w:p>
    <w:p w14:paraId="4567C6B1" w14:textId="68A51C5F" w:rsidR="00B423AD" w:rsidRPr="002E5EB4" w:rsidRDefault="0093113C" w:rsidP="00AC237D">
      <w:pPr>
        <w:rPr>
          <w:rFonts w:cs="Times New Roman"/>
          <w:szCs w:val="22"/>
        </w:rPr>
      </w:pPr>
      <w:r w:rsidRPr="002E5EB4">
        <w:rPr>
          <w:rFonts w:cs="Times New Roman"/>
          <w:szCs w:val="22"/>
        </w:rPr>
        <w:t xml:space="preserve">La inversión en </w:t>
      </w:r>
      <w:r w:rsidR="00AC237D" w:rsidRPr="002E5EB4">
        <w:rPr>
          <w:rFonts w:cs="Times New Roman"/>
          <w:szCs w:val="22"/>
        </w:rPr>
        <w:t>activos fijos</w:t>
      </w:r>
      <w:r w:rsidR="00A9101A" w:rsidRPr="002E5EB4">
        <w:rPr>
          <w:rFonts w:cs="Times New Roman"/>
          <w:szCs w:val="22"/>
        </w:rPr>
        <w:t xml:space="preserve"> </w:t>
      </w:r>
      <w:r w:rsidR="00D45FAA" w:rsidRPr="002E5EB4">
        <w:rPr>
          <w:rFonts w:cs="Times New Roman"/>
          <w:szCs w:val="22"/>
        </w:rPr>
        <w:t>continúa</w:t>
      </w:r>
      <w:r w:rsidR="00824E76" w:rsidRPr="002E5EB4">
        <w:rPr>
          <w:rFonts w:cs="Times New Roman"/>
          <w:szCs w:val="22"/>
        </w:rPr>
        <w:t xml:space="preserve"> siendo </w:t>
      </w:r>
      <w:r w:rsidR="00A9101A" w:rsidRPr="002E5EB4">
        <w:rPr>
          <w:rFonts w:cs="Times New Roman"/>
          <w:szCs w:val="22"/>
        </w:rPr>
        <w:t>la más significativa</w:t>
      </w:r>
      <w:r w:rsidR="001A6986">
        <w:rPr>
          <w:rFonts w:cs="Times New Roman"/>
          <w:szCs w:val="22"/>
        </w:rPr>
        <w:t>,</w:t>
      </w:r>
      <w:r w:rsidR="005A5CE0" w:rsidRPr="002E5EB4">
        <w:rPr>
          <w:rFonts w:cs="Times New Roman"/>
          <w:szCs w:val="22"/>
        </w:rPr>
        <w:t xml:space="preserve"> siendo esta de</w:t>
      </w:r>
      <w:r w:rsidR="00A9101A" w:rsidRPr="002E5EB4">
        <w:rPr>
          <w:rFonts w:cs="Times New Roman"/>
          <w:szCs w:val="22"/>
        </w:rPr>
        <w:t xml:space="preserve"> Q</w:t>
      </w:r>
      <w:r w:rsidR="005A5CE0" w:rsidRPr="002E5EB4">
        <w:rPr>
          <w:rFonts w:cs="Times New Roman"/>
          <w:szCs w:val="22"/>
        </w:rPr>
        <w:t>13,012.9</w:t>
      </w:r>
      <w:r w:rsidR="00A9101A" w:rsidRPr="002E5EB4">
        <w:rPr>
          <w:rFonts w:cs="Times New Roman"/>
          <w:szCs w:val="22"/>
        </w:rPr>
        <w:t xml:space="preserve"> millones</w:t>
      </w:r>
      <w:r w:rsidR="005A5CE0" w:rsidRPr="002E5EB4">
        <w:rPr>
          <w:rFonts w:cs="Times New Roman"/>
          <w:szCs w:val="22"/>
        </w:rPr>
        <w:t xml:space="preserve"> y un aumento del 29.8% (Q2,986.4 millones)</w:t>
      </w:r>
      <w:r w:rsidR="005B22B6">
        <w:rPr>
          <w:rFonts w:cs="Times New Roman"/>
          <w:szCs w:val="22"/>
        </w:rPr>
        <w:t>. E</w:t>
      </w:r>
      <w:r w:rsidR="001E485A" w:rsidRPr="002E5EB4">
        <w:rPr>
          <w:rFonts w:cs="Times New Roman"/>
          <w:szCs w:val="22"/>
        </w:rPr>
        <w:t>ntre su</w:t>
      </w:r>
      <w:r w:rsidR="00B423AD" w:rsidRPr="002E5EB4">
        <w:rPr>
          <w:rFonts w:cs="Times New Roman"/>
          <w:szCs w:val="22"/>
        </w:rPr>
        <w:t xml:space="preserve">s subcategorías, las </w:t>
      </w:r>
      <w:r w:rsidR="00545652" w:rsidRPr="002E5EB4">
        <w:rPr>
          <w:rFonts w:cs="Times New Roman"/>
          <w:szCs w:val="22"/>
        </w:rPr>
        <w:t>más</w:t>
      </w:r>
      <w:r w:rsidR="00B423AD" w:rsidRPr="002E5EB4">
        <w:rPr>
          <w:rFonts w:cs="Times New Roman"/>
          <w:szCs w:val="22"/>
        </w:rPr>
        <w:t xml:space="preserve"> destacas son:</w:t>
      </w:r>
    </w:p>
    <w:p w14:paraId="249350DC" w14:textId="063D351D" w:rsidR="00284CEE" w:rsidRPr="002E5EB4" w:rsidRDefault="00D45FAA" w:rsidP="00B423AD">
      <w:pPr>
        <w:pStyle w:val="Prrafodelista"/>
        <w:numPr>
          <w:ilvl w:val="0"/>
          <w:numId w:val="47"/>
        </w:numPr>
        <w:rPr>
          <w:rFonts w:cs="Times New Roman"/>
          <w:szCs w:val="22"/>
        </w:rPr>
      </w:pPr>
      <w:r w:rsidRPr="002E5EB4">
        <w:rPr>
          <w:rFonts w:cs="Times New Roman"/>
          <w:szCs w:val="22"/>
        </w:rPr>
        <w:t>L</w:t>
      </w:r>
      <w:r w:rsidR="00D46619" w:rsidRPr="002E5EB4">
        <w:rPr>
          <w:rFonts w:cs="Times New Roman"/>
          <w:szCs w:val="22"/>
        </w:rPr>
        <w:t xml:space="preserve">a inversión realizada en </w:t>
      </w:r>
      <w:r w:rsidR="00AC237D" w:rsidRPr="002E5EB4">
        <w:rPr>
          <w:rFonts w:cs="Times New Roman"/>
          <w:szCs w:val="22"/>
        </w:rPr>
        <w:t>edificios y estructuras</w:t>
      </w:r>
      <w:r w:rsidR="00B423AD" w:rsidRPr="002E5EB4">
        <w:rPr>
          <w:rFonts w:cs="Times New Roman"/>
          <w:szCs w:val="22"/>
        </w:rPr>
        <w:t xml:space="preserve"> </w:t>
      </w:r>
      <w:r w:rsidRPr="002E5EB4">
        <w:rPr>
          <w:rFonts w:cs="Times New Roman"/>
          <w:szCs w:val="22"/>
        </w:rPr>
        <w:t>ascendió a</w:t>
      </w:r>
      <w:r w:rsidR="00D46619" w:rsidRPr="002E5EB4">
        <w:rPr>
          <w:rFonts w:cs="Times New Roman"/>
          <w:szCs w:val="22"/>
        </w:rPr>
        <w:t xml:space="preserve"> Q</w:t>
      </w:r>
      <w:r w:rsidR="004C069B" w:rsidRPr="002E5EB4">
        <w:rPr>
          <w:rFonts w:cs="Times New Roman"/>
          <w:szCs w:val="22"/>
        </w:rPr>
        <w:t>11,647.0</w:t>
      </w:r>
      <w:r w:rsidR="00D46619" w:rsidRPr="002E5EB4">
        <w:rPr>
          <w:rFonts w:cs="Times New Roman"/>
          <w:szCs w:val="22"/>
        </w:rPr>
        <w:t xml:space="preserve"> millones</w:t>
      </w:r>
      <w:r w:rsidR="00A75C0D">
        <w:rPr>
          <w:rFonts w:cs="Times New Roman"/>
          <w:szCs w:val="22"/>
        </w:rPr>
        <w:t>,</w:t>
      </w:r>
      <w:r w:rsidR="00D46619" w:rsidRPr="002E5EB4">
        <w:rPr>
          <w:rFonts w:cs="Times New Roman"/>
          <w:szCs w:val="22"/>
        </w:rPr>
        <w:t xml:space="preserve"> con un crecimiento del </w:t>
      </w:r>
      <w:r w:rsidR="004C069B" w:rsidRPr="002E5EB4">
        <w:rPr>
          <w:rFonts w:cs="Times New Roman"/>
          <w:szCs w:val="22"/>
        </w:rPr>
        <w:t>29.5</w:t>
      </w:r>
      <w:r w:rsidR="00D46619" w:rsidRPr="002E5EB4">
        <w:rPr>
          <w:rFonts w:cs="Times New Roman"/>
          <w:szCs w:val="22"/>
        </w:rPr>
        <w:t>% (Q</w:t>
      </w:r>
      <w:r w:rsidR="004C069B" w:rsidRPr="002E5EB4">
        <w:rPr>
          <w:rFonts w:cs="Times New Roman"/>
          <w:szCs w:val="22"/>
        </w:rPr>
        <w:t>2,653.5</w:t>
      </w:r>
      <w:r w:rsidR="00D46619" w:rsidRPr="002E5EB4">
        <w:rPr>
          <w:rFonts w:cs="Times New Roman"/>
          <w:szCs w:val="22"/>
        </w:rPr>
        <w:t xml:space="preserve"> millones</w:t>
      </w:r>
      <w:r w:rsidR="003478C9" w:rsidRPr="002E5EB4">
        <w:rPr>
          <w:rFonts w:cs="Times New Roman"/>
          <w:szCs w:val="22"/>
        </w:rPr>
        <w:t>)</w:t>
      </w:r>
      <w:r w:rsidR="00C7210E" w:rsidRPr="002E5EB4">
        <w:rPr>
          <w:rFonts w:cs="Times New Roman"/>
          <w:szCs w:val="22"/>
        </w:rPr>
        <w:t xml:space="preserve"> y el buen dinamismo es</w:t>
      </w:r>
      <w:r w:rsidR="003478C9" w:rsidRPr="002E5EB4">
        <w:rPr>
          <w:rFonts w:cs="Times New Roman"/>
          <w:szCs w:val="22"/>
        </w:rPr>
        <w:t xml:space="preserve"> explicado principalmente por </w:t>
      </w:r>
      <w:r w:rsidR="00AC237D" w:rsidRPr="002E5EB4">
        <w:rPr>
          <w:rFonts w:cs="Times New Roman"/>
          <w:szCs w:val="22"/>
        </w:rPr>
        <w:t>las construcciones de bienes nacionales de uso común (</w:t>
      </w:r>
      <w:r w:rsidR="0096300A" w:rsidRPr="002E5EB4">
        <w:rPr>
          <w:rFonts w:cs="Times New Roman"/>
          <w:szCs w:val="22"/>
        </w:rPr>
        <w:t xml:space="preserve">esta categoría </w:t>
      </w:r>
      <w:r w:rsidR="00AC237D" w:rsidRPr="002E5EB4">
        <w:rPr>
          <w:rFonts w:cs="Times New Roman"/>
          <w:szCs w:val="22"/>
        </w:rPr>
        <w:t>incluye la construcción de calles, parques, plazas, entre otros)</w:t>
      </w:r>
      <w:r w:rsidR="00B14BAC" w:rsidRPr="002E5EB4">
        <w:rPr>
          <w:rFonts w:cs="Times New Roman"/>
          <w:szCs w:val="22"/>
        </w:rPr>
        <w:t xml:space="preserve"> que se sitúa en </w:t>
      </w:r>
      <w:r w:rsidR="00AC237D" w:rsidRPr="002E5EB4">
        <w:rPr>
          <w:rFonts w:cs="Times New Roman"/>
          <w:szCs w:val="22"/>
        </w:rPr>
        <w:t>Q</w:t>
      </w:r>
      <w:r w:rsidR="00E2353B" w:rsidRPr="002E5EB4">
        <w:rPr>
          <w:rFonts w:cs="Times New Roman"/>
          <w:szCs w:val="22"/>
        </w:rPr>
        <w:t xml:space="preserve">4,952.6 </w:t>
      </w:r>
      <w:r w:rsidR="00AC237D" w:rsidRPr="002E5EB4">
        <w:rPr>
          <w:rFonts w:cs="Times New Roman"/>
          <w:szCs w:val="22"/>
        </w:rPr>
        <w:t>millones</w:t>
      </w:r>
      <w:r w:rsidR="00A75C0D">
        <w:rPr>
          <w:rFonts w:cs="Times New Roman"/>
          <w:szCs w:val="22"/>
        </w:rPr>
        <w:t>,</w:t>
      </w:r>
      <w:r w:rsidR="00E2353B" w:rsidRPr="002E5EB4">
        <w:rPr>
          <w:rFonts w:cs="Times New Roman"/>
          <w:szCs w:val="22"/>
        </w:rPr>
        <w:t xml:space="preserve"> </w:t>
      </w:r>
      <w:r w:rsidR="002C3EEC">
        <w:rPr>
          <w:rFonts w:cs="Times New Roman"/>
          <w:szCs w:val="22"/>
        </w:rPr>
        <w:t>con</w:t>
      </w:r>
      <w:r w:rsidR="00E2353B" w:rsidRPr="002E5EB4">
        <w:rPr>
          <w:rFonts w:cs="Times New Roman"/>
          <w:szCs w:val="22"/>
        </w:rPr>
        <w:t xml:space="preserve"> un </w:t>
      </w:r>
      <w:r w:rsidR="00B14BAC" w:rsidRPr="002E5EB4">
        <w:rPr>
          <w:rFonts w:cs="Times New Roman"/>
          <w:szCs w:val="22"/>
        </w:rPr>
        <w:t xml:space="preserve">crecimiento interanual </w:t>
      </w:r>
      <w:r w:rsidR="00AC237D" w:rsidRPr="002E5EB4">
        <w:rPr>
          <w:rFonts w:cs="Times New Roman"/>
          <w:szCs w:val="22"/>
        </w:rPr>
        <w:t xml:space="preserve">del </w:t>
      </w:r>
      <w:r w:rsidR="00B21B02" w:rsidRPr="002E5EB4">
        <w:rPr>
          <w:rFonts w:cs="Times New Roman"/>
          <w:szCs w:val="22"/>
        </w:rPr>
        <w:t>22.2</w:t>
      </w:r>
      <w:r w:rsidR="00AC237D" w:rsidRPr="002E5EB4">
        <w:rPr>
          <w:rFonts w:cs="Times New Roman"/>
          <w:szCs w:val="22"/>
        </w:rPr>
        <w:t>% (Q</w:t>
      </w:r>
      <w:r w:rsidR="00B21B02" w:rsidRPr="002E5EB4">
        <w:rPr>
          <w:rFonts w:cs="Times New Roman"/>
          <w:szCs w:val="22"/>
        </w:rPr>
        <w:t>900.8</w:t>
      </w:r>
      <w:r w:rsidR="00AC237D" w:rsidRPr="002E5EB4">
        <w:rPr>
          <w:rFonts w:cs="Times New Roman"/>
          <w:szCs w:val="22"/>
        </w:rPr>
        <w:t xml:space="preserve"> millones)</w:t>
      </w:r>
      <w:r w:rsidR="00942D56" w:rsidRPr="002E5EB4">
        <w:rPr>
          <w:rFonts w:cs="Times New Roman"/>
          <w:szCs w:val="22"/>
        </w:rPr>
        <w:t>,</w:t>
      </w:r>
      <w:r w:rsidR="00AC237D" w:rsidRPr="002E5EB4">
        <w:rPr>
          <w:rFonts w:cs="Times New Roman"/>
          <w:szCs w:val="22"/>
        </w:rPr>
        <w:t xml:space="preserve"> seguido de la inversión en construcciones de bienes nacionales de uso no común (</w:t>
      </w:r>
      <w:r w:rsidR="00DB48D6" w:rsidRPr="002E5EB4">
        <w:rPr>
          <w:rFonts w:cs="Times New Roman"/>
          <w:szCs w:val="22"/>
        </w:rPr>
        <w:t xml:space="preserve">el cual </w:t>
      </w:r>
      <w:r w:rsidR="00AC237D" w:rsidRPr="002E5EB4">
        <w:rPr>
          <w:rFonts w:cs="Times New Roman"/>
          <w:szCs w:val="22"/>
        </w:rPr>
        <w:t>incluye la construcción de escuelas, hospitales y edificios</w:t>
      </w:r>
      <w:r w:rsidR="003C72A5">
        <w:rPr>
          <w:rFonts w:cs="Times New Roman"/>
          <w:szCs w:val="22"/>
        </w:rPr>
        <w:t>,</w:t>
      </w:r>
      <w:r w:rsidR="00AC237D" w:rsidRPr="002E5EB4">
        <w:rPr>
          <w:rFonts w:cs="Times New Roman"/>
          <w:szCs w:val="22"/>
        </w:rPr>
        <w:t xml:space="preserve"> entre otros)</w:t>
      </w:r>
      <w:r w:rsidR="00DB48D6" w:rsidRPr="002E5EB4">
        <w:rPr>
          <w:rFonts w:cs="Times New Roman"/>
          <w:szCs w:val="22"/>
        </w:rPr>
        <w:t xml:space="preserve"> con una ejecución de </w:t>
      </w:r>
      <w:r w:rsidR="00AC237D" w:rsidRPr="002E5EB4">
        <w:rPr>
          <w:rFonts w:cs="Times New Roman"/>
          <w:szCs w:val="22"/>
        </w:rPr>
        <w:t>Q</w:t>
      </w:r>
      <w:r w:rsidR="00DD5CF3" w:rsidRPr="002E5EB4">
        <w:rPr>
          <w:rFonts w:cs="Times New Roman"/>
          <w:szCs w:val="22"/>
        </w:rPr>
        <w:t>1,998.</w:t>
      </w:r>
      <w:r w:rsidR="00450EBB">
        <w:rPr>
          <w:rFonts w:cs="Times New Roman"/>
          <w:szCs w:val="22"/>
        </w:rPr>
        <w:t>4</w:t>
      </w:r>
      <w:r w:rsidR="00AC237D" w:rsidRPr="002E5EB4">
        <w:rPr>
          <w:rFonts w:cs="Times New Roman"/>
          <w:szCs w:val="22"/>
        </w:rPr>
        <w:t xml:space="preserve"> millones</w:t>
      </w:r>
      <w:r w:rsidR="00A75C0D">
        <w:rPr>
          <w:rFonts w:cs="Times New Roman"/>
          <w:szCs w:val="22"/>
        </w:rPr>
        <w:t>,</w:t>
      </w:r>
      <w:r w:rsidR="006F2D2E" w:rsidRPr="002E5EB4">
        <w:rPr>
          <w:rFonts w:cs="Times New Roman"/>
          <w:szCs w:val="22"/>
        </w:rPr>
        <w:t xml:space="preserve"> </w:t>
      </w:r>
      <w:r w:rsidR="009C2C2F" w:rsidRPr="002E5EB4">
        <w:rPr>
          <w:rFonts w:cs="Times New Roman"/>
          <w:szCs w:val="22"/>
        </w:rPr>
        <w:t>siendo un aumento del</w:t>
      </w:r>
      <w:r w:rsidR="00AC237D" w:rsidRPr="002E5EB4">
        <w:rPr>
          <w:rFonts w:cs="Times New Roman"/>
          <w:szCs w:val="22"/>
        </w:rPr>
        <w:t xml:space="preserve"> </w:t>
      </w:r>
      <w:r w:rsidR="009C2C2F" w:rsidRPr="002E5EB4">
        <w:rPr>
          <w:rFonts w:cs="Times New Roman"/>
          <w:szCs w:val="22"/>
        </w:rPr>
        <w:t>89</w:t>
      </w:r>
      <w:r w:rsidR="00AC237D" w:rsidRPr="002E5EB4">
        <w:rPr>
          <w:rFonts w:cs="Times New Roman"/>
          <w:szCs w:val="22"/>
        </w:rPr>
        <w:t>.</w:t>
      </w:r>
      <w:r w:rsidR="009C2C2F" w:rsidRPr="002E5EB4">
        <w:rPr>
          <w:rFonts w:cs="Times New Roman"/>
          <w:szCs w:val="22"/>
        </w:rPr>
        <w:t>2</w:t>
      </w:r>
      <w:r w:rsidR="00AC237D" w:rsidRPr="002E5EB4">
        <w:rPr>
          <w:rFonts w:cs="Times New Roman"/>
          <w:szCs w:val="22"/>
        </w:rPr>
        <w:t>% (Q</w:t>
      </w:r>
      <w:r w:rsidR="009C2C2F" w:rsidRPr="002E5EB4">
        <w:rPr>
          <w:rFonts w:cs="Times New Roman"/>
          <w:szCs w:val="22"/>
        </w:rPr>
        <w:t>942.0</w:t>
      </w:r>
      <w:r w:rsidR="00AC237D" w:rsidRPr="002E5EB4">
        <w:rPr>
          <w:rFonts w:cs="Times New Roman"/>
          <w:szCs w:val="22"/>
        </w:rPr>
        <w:t xml:space="preserve"> millones). </w:t>
      </w:r>
      <w:r w:rsidR="00CB34D6" w:rsidRPr="002E5EB4">
        <w:rPr>
          <w:rFonts w:cs="Times New Roman"/>
          <w:szCs w:val="22"/>
        </w:rPr>
        <w:t xml:space="preserve">El </w:t>
      </w:r>
      <w:r w:rsidR="00F714BB" w:rsidRPr="002E5EB4">
        <w:rPr>
          <w:rFonts w:cs="Times New Roman"/>
          <w:szCs w:val="22"/>
        </w:rPr>
        <w:t>73.9% del total de la inversión en edificios y estructuras fue realizado por los gobiernos locales</w:t>
      </w:r>
      <w:r w:rsidR="00E6491D" w:rsidRPr="002E5EB4">
        <w:rPr>
          <w:rFonts w:cs="Times New Roman"/>
          <w:szCs w:val="22"/>
        </w:rPr>
        <w:t>, el gobierno central presupuestario ejecut</w:t>
      </w:r>
      <w:r w:rsidR="00A75C0D">
        <w:rPr>
          <w:rFonts w:cs="Times New Roman"/>
          <w:szCs w:val="22"/>
        </w:rPr>
        <w:t>ó</w:t>
      </w:r>
      <w:r w:rsidR="00E6491D" w:rsidRPr="002E5EB4">
        <w:rPr>
          <w:rFonts w:cs="Times New Roman"/>
          <w:szCs w:val="22"/>
        </w:rPr>
        <w:t xml:space="preserve"> el 25.5%</w:t>
      </w:r>
      <w:r w:rsidR="004F72DE">
        <w:rPr>
          <w:rFonts w:cs="Times New Roman"/>
          <w:szCs w:val="22"/>
        </w:rPr>
        <w:t xml:space="preserve"> y </w:t>
      </w:r>
      <w:r w:rsidR="00F3603D" w:rsidRPr="002E5EB4">
        <w:rPr>
          <w:rFonts w:cs="Times New Roman"/>
          <w:szCs w:val="22"/>
        </w:rPr>
        <w:t>el gobierno central extrapresupuestario el 0.</w:t>
      </w:r>
      <w:r w:rsidR="0052595E">
        <w:rPr>
          <w:rFonts w:cs="Times New Roman"/>
          <w:szCs w:val="22"/>
        </w:rPr>
        <w:t>5</w:t>
      </w:r>
      <w:r w:rsidR="00F3603D" w:rsidRPr="002E5EB4">
        <w:rPr>
          <w:rFonts w:cs="Times New Roman"/>
          <w:szCs w:val="22"/>
        </w:rPr>
        <w:t>%.</w:t>
      </w:r>
    </w:p>
    <w:p w14:paraId="08CD2337" w14:textId="77777777" w:rsidR="00E45942" w:rsidRPr="002E5EB4" w:rsidRDefault="00E45942" w:rsidP="00E45942">
      <w:pPr>
        <w:pStyle w:val="Prrafodelista"/>
        <w:ind w:left="360"/>
        <w:rPr>
          <w:rFonts w:cs="Times New Roman"/>
          <w:szCs w:val="22"/>
        </w:rPr>
      </w:pPr>
    </w:p>
    <w:p w14:paraId="47C3833E" w14:textId="1F532566" w:rsidR="001E485A" w:rsidRPr="002E5EB4" w:rsidRDefault="00B423AD" w:rsidP="00E47012">
      <w:pPr>
        <w:pStyle w:val="Prrafodelista"/>
        <w:numPr>
          <w:ilvl w:val="0"/>
          <w:numId w:val="47"/>
        </w:numPr>
        <w:rPr>
          <w:rFonts w:cs="Times New Roman"/>
          <w:szCs w:val="22"/>
        </w:rPr>
      </w:pPr>
      <w:r w:rsidRPr="002E5EB4">
        <w:rPr>
          <w:rFonts w:cs="Times New Roman"/>
          <w:szCs w:val="22"/>
        </w:rPr>
        <w:t xml:space="preserve">Mientras que </w:t>
      </w:r>
      <w:r w:rsidR="00AB6A29" w:rsidRPr="002E5EB4">
        <w:rPr>
          <w:rFonts w:cs="Times New Roman"/>
          <w:szCs w:val="22"/>
        </w:rPr>
        <w:t>las inversiones</w:t>
      </w:r>
      <w:r w:rsidRPr="002E5EB4">
        <w:rPr>
          <w:rFonts w:cs="Times New Roman"/>
          <w:szCs w:val="22"/>
        </w:rPr>
        <w:t xml:space="preserve"> en Maquinaria y equipo se situ</w:t>
      </w:r>
      <w:r w:rsidR="00AB6A29" w:rsidRPr="002E5EB4">
        <w:rPr>
          <w:rFonts w:cs="Times New Roman"/>
          <w:szCs w:val="22"/>
        </w:rPr>
        <w:t>aron</w:t>
      </w:r>
      <w:r w:rsidRPr="002E5EB4">
        <w:rPr>
          <w:rFonts w:cs="Times New Roman"/>
          <w:szCs w:val="22"/>
        </w:rPr>
        <w:t xml:space="preserve"> en Q</w:t>
      </w:r>
      <w:r w:rsidR="00204F74" w:rsidRPr="002E5EB4">
        <w:rPr>
          <w:rFonts w:cs="Times New Roman"/>
          <w:szCs w:val="22"/>
        </w:rPr>
        <w:t xml:space="preserve">1,236.0 millones con un aumento del 20.3% (Q208.9 millones) </w:t>
      </w:r>
      <w:r w:rsidR="00AB6A29" w:rsidRPr="002E5EB4">
        <w:rPr>
          <w:rFonts w:cs="Times New Roman"/>
          <w:szCs w:val="22"/>
        </w:rPr>
        <w:t>respecto al año previo.</w:t>
      </w:r>
      <w:r w:rsidR="009152BF" w:rsidRPr="002E5EB4">
        <w:rPr>
          <w:rFonts w:cs="Times New Roman"/>
          <w:szCs w:val="22"/>
        </w:rPr>
        <w:t xml:space="preserve"> En esta categoría la mayor inversión se </w:t>
      </w:r>
      <w:r w:rsidR="00DC6E76" w:rsidRPr="002E5EB4">
        <w:rPr>
          <w:rFonts w:cs="Times New Roman"/>
          <w:szCs w:val="22"/>
        </w:rPr>
        <w:t xml:space="preserve">realizó en equipo de </w:t>
      </w:r>
      <w:r w:rsidR="008D4047" w:rsidRPr="002E5EB4">
        <w:rPr>
          <w:rFonts w:cs="Times New Roman"/>
          <w:szCs w:val="22"/>
        </w:rPr>
        <w:t>cómputo</w:t>
      </w:r>
      <w:r w:rsidR="00D961FE" w:rsidRPr="002E5EB4">
        <w:rPr>
          <w:rFonts w:cs="Times New Roman"/>
          <w:szCs w:val="22"/>
        </w:rPr>
        <w:t xml:space="preserve"> por un total de Q</w:t>
      </w:r>
      <w:r w:rsidR="00464FAA" w:rsidRPr="002E5EB4">
        <w:rPr>
          <w:rFonts w:cs="Times New Roman"/>
          <w:szCs w:val="22"/>
        </w:rPr>
        <w:t>409.6 millones siendo este un incremento del 24.7% (</w:t>
      </w:r>
      <w:r w:rsidR="00C42A92" w:rsidRPr="002E5EB4">
        <w:rPr>
          <w:rFonts w:cs="Times New Roman"/>
          <w:szCs w:val="22"/>
        </w:rPr>
        <w:t>Q</w:t>
      </w:r>
      <w:r w:rsidR="00464FAA" w:rsidRPr="002E5EB4">
        <w:rPr>
          <w:rFonts w:cs="Times New Roman"/>
          <w:szCs w:val="22"/>
        </w:rPr>
        <w:t>81.2</w:t>
      </w:r>
      <w:r w:rsidR="00C42A92" w:rsidRPr="002E5EB4">
        <w:rPr>
          <w:rFonts w:cs="Times New Roman"/>
          <w:szCs w:val="22"/>
        </w:rPr>
        <w:t xml:space="preserve"> millones)</w:t>
      </w:r>
      <w:r w:rsidR="004F68AF" w:rsidRPr="002E5EB4">
        <w:rPr>
          <w:rFonts w:cs="Times New Roman"/>
          <w:szCs w:val="22"/>
        </w:rPr>
        <w:t>.</w:t>
      </w:r>
    </w:p>
    <w:p w14:paraId="34362CF2" w14:textId="77777777" w:rsidR="00ED307A" w:rsidRPr="002E5EB4" w:rsidRDefault="00ED307A" w:rsidP="00ED307A">
      <w:pPr>
        <w:pStyle w:val="Prrafodelista"/>
        <w:rPr>
          <w:rFonts w:cs="Times New Roman"/>
          <w:szCs w:val="22"/>
        </w:rPr>
      </w:pPr>
    </w:p>
    <w:p w14:paraId="60675D19" w14:textId="0994AB68" w:rsidR="00A90ED3" w:rsidRPr="002E5EB4" w:rsidRDefault="00A90ED3" w:rsidP="00AC237D">
      <w:pPr>
        <w:rPr>
          <w:rFonts w:cs="Times New Roman"/>
          <w:szCs w:val="22"/>
        </w:rPr>
      </w:pPr>
      <w:r w:rsidRPr="002E5EB4">
        <w:rPr>
          <w:rFonts w:cs="Times New Roman"/>
          <w:noProof/>
          <w:szCs w:val="22"/>
          <w:lang w:eastAsia="es-GT"/>
        </w:rPr>
        <w:drawing>
          <wp:inline distT="0" distB="0" distL="0" distR="0" wp14:anchorId="12AB5EFB" wp14:editId="29F6763C">
            <wp:extent cx="6011545" cy="3200400"/>
            <wp:effectExtent l="0" t="0" r="825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ADD9C0" w14:textId="77777777" w:rsidR="00B435E7" w:rsidRPr="002E5EB4" w:rsidRDefault="001D54E4" w:rsidP="00C701B2">
      <w:pPr>
        <w:pStyle w:val="Ttulo1"/>
        <w:numPr>
          <w:ilvl w:val="0"/>
          <w:numId w:val="12"/>
        </w:numPr>
        <w:rPr>
          <w:lang w:val="es-MX"/>
        </w:rPr>
      </w:pPr>
      <w:bookmarkStart w:id="852" w:name="_Toc42023966"/>
      <w:bookmarkStart w:id="853" w:name="_Toc42024017"/>
      <w:bookmarkStart w:id="854" w:name="_Toc42023967"/>
      <w:bookmarkStart w:id="855" w:name="_Toc42024018"/>
      <w:bookmarkStart w:id="856" w:name="_Toc154158274"/>
      <w:bookmarkEnd w:id="852"/>
      <w:bookmarkEnd w:id="853"/>
      <w:bookmarkEnd w:id="854"/>
      <w:bookmarkEnd w:id="855"/>
      <w:r w:rsidRPr="002E5EB4">
        <w:rPr>
          <w:lang w:val="es-MX"/>
        </w:rPr>
        <w:lastRenderedPageBreak/>
        <w:t>Financiamiento</w:t>
      </w:r>
      <w:bookmarkEnd w:id="856"/>
    </w:p>
    <w:p w14:paraId="52D94915" w14:textId="450DADF7" w:rsidR="00E44C78" w:rsidRPr="002E5EB4" w:rsidRDefault="00092209" w:rsidP="00E44C78">
      <w:pPr>
        <w:pStyle w:val="Ttulo2"/>
        <w:numPr>
          <w:ilvl w:val="1"/>
          <w:numId w:val="12"/>
        </w:numPr>
        <w:tabs>
          <w:tab w:val="left" w:pos="426"/>
        </w:tabs>
        <w:spacing w:before="0"/>
        <w:rPr>
          <w:rFonts w:cs="Times New Roman"/>
          <w:sz w:val="22"/>
          <w:szCs w:val="22"/>
        </w:rPr>
      </w:pPr>
      <w:bookmarkStart w:id="857" w:name="_Toc55374005"/>
      <w:bookmarkStart w:id="858" w:name="_Toc55375142"/>
      <w:bookmarkStart w:id="859" w:name="_Toc55396550"/>
      <w:bookmarkStart w:id="860" w:name="_Toc65230547"/>
      <w:bookmarkStart w:id="861" w:name="_Toc65230785"/>
      <w:bookmarkStart w:id="862" w:name="_Toc65232069"/>
      <w:bookmarkStart w:id="863" w:name="_Toc65232314"/>
      <w:bookmarkStart w:id="864" w:name="_Toc66716173"/>
      <w:bookmarkStart w:id="865" w:name="_Toc71097217"/>
      <w:bookmarkStart w:id="866" w:name="_Toc71097248"/>
      <w:bookmarkStart w:id="867" w:name="_Toc71097323"/>
      <w:bookmarkStart w:id="868" w:name="_Toc71108063"/>
      <w:bookmarkStart w:id="869" w:name="_Toc79055257"/>
      <w:bookmarkStart w:id="870" w:name="_Toc79055288"/>
      <w:bookmarkStart w:id="871" w:name="_Toc79060179"/>
      <w:bookmarkStart w:id="872" w:name="_Toc79060466"/>
      <w:bookmarkStart w:id="873" w:name="_Toc81307823"/>
      <w:bookmarkStart w:id="874" w:name="_Toc83376484"/>
      <w:bookmarkStart w:id="875" w:name="_Toc86386723"/>
      <w:bookmarkStart w:id="876" w:name="_Toc86405409"/>
      <w:bookmarkStart w:id="877" w:name="_Toc98162439"/>
      <w:bookmarkStart w:id="878" w:name="_Toc98162471"/>
      <w:bookmarkStart w:id="879" w:name="_Toc98234997"/>
      <w:bookmarkStart w:id="880" w:name="_Toc98235192"/>
      <w:bookmarkStart w:id="881" w:name="_Toc98235277"/>
      <w:bookmarkStart w:id="882" w:name="_Toc98757147"/>
      <w:bookmarkStart w:id="883" w:name="_Toc101874702"/>
      <w:bookmarkStart w:id="884" w:name="_Toc101954158"/>
      <w:bookmarkStart w:id="885" w:name="_Toc101971975"/>
      <w:bookmarkStart w:id="886" w:name="_Toc101974067"/>
      <w:bookmarkStart w:id="887" w:name="_Toc102039752"/>
      <w:bookmarkStart w:id="888" w:name="_Toc102039790"/>
      <w:bookmarkStart w:id="889" w:name="_Toc102039830"/>
      <w:bookmarkStart w:id="890" w:name="_Toc102039861"/>
      <w:bookmarkStart w:id="891" w:name="_Toc102040919"/>
      <w:bookmarkStart w:id="892" w:name="_Toc102477767"/>
      <w:bookmarkStart w:id="893" w:name="_Toc102477798"/>
      <w:bookmarkStart w:id="894" w:name="_Toc109824828"/>
      <w:bookmarkStart w:id="895" w:name="_Toc109828784"/>
      <w:bookmarkStart w:id="896" w:name="_Toc109828847"/>
      <w:bookmarkStart w:id="897" w:name="_Toc109829023"/>
      <w:bookmarkStart w:id="898" w:name="_Toc109829054"/>
      <w:bookmarkStart w:id="899" w:name="_Toc109833898"/>
      <w:bookmarkStart w:id="900" w:name="_Toc110237441"/>
      <w:bookmarkStart w:id="901" w:name="_Toc117775318"/>
      <w:bookmarkStart w:id="902" w:name="_Toc117781287"/>
      <w:bookmarkStart w:id="903" w:name="_Toc125620816"/>
      <w:bookmarkStart w:id="904" w:name="_Toc125620847"/>
      <w:bookmarkStart w:id="905" w:name="_Toc125620878"/>
      <w:bookmarkStart w:id="906" w:name="_Toc125620914"/>
      <w:bookmarkStart w:id="907" w:name="_Toc125620945"/>
      <w:bookmarkStart w:id="908" w:name="_Toc125620978"/>
      <w:bookmarkStart w:id="909" w:name="_Toc125621031"/>
      <w:bookmarkStart w:id="910" w:name="_Toc125621085"/>
      <w:bookmarkStart w:id="911" w:name="_Toc125623563"/>
      <w:bookmarkStart w:id="912" w:name="_Toc125623595"/>
      <w:bookmarkStart w:id="913" w:name="_Toc125623627"/>
      <w:bookmarkStart w:id="914" w:name="_Toc125970373"/>
      <w:bookmarkStart w:id="915" w:name="_Toc125970405"/>
      <w:bookmarkStart w:id="916" w:name="_Toc127365856"/>
      <w:bookmarkStart w:id="917" w:name="_Toc127434607"/>
      <w:bookmarkStart w:id="918" w:name="_Toc127436975"/>
      <w:bookmarkStart w:id="919" w:name="_Toc127437336"/>
      <w:bookmarkStart w:id="920" w:name="_Toc127437691"/>
      <w:bookmarkStart w:id="921" w:name="_Toc154158275"/>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2E5EB4">
        <w:rPr>
          <w:rFonts w:cs="Times New Roman"/>
          <w:sz w:val="22"/>
          <w:szCs w:val="22"/>
        </w:rPr>
        <w:t xml:space="preserve">Los </w:t>
      </w:r>
      <w:r w:rsidR="007B70FB" w:rsidRPr="002E5EB4">
        <w:rPr>
          <w:rFonts w:cs="Times New Roman"/>
          <w:sz w:val="22"/>
          <w:szCs w:val="22"/>
        </w:rPr>
        <w:t>activos financieros</w:t>
      </w:r>
      <w:r w:rsidRPr="002E5EB4">
        <w:rPr>
          <w:rFonts w:cs="Times New Roman"/>
          <w:sz w:val="22"/>
          <w:szCs w:val="22"/>
        </w:rPr>
        <w:t xml:space="preserve"> </w:t>
      </w:r>
      <w:r w:rsidR="00AF443B" w:rsidRPr="002E5EB4">
        <w:rPr>
          <w:rFonts w:cs="Times New Roman"/>
          <w:sz w:val="22"/>
          <w:szCs w:val="22"/>
        </w:rPr>
        <w:t>aumentarón</w:t>
      </w:r>
      <w:bookmarkEnd w:id="921"/>
    </w:p>
    <w:p w14:paraId="79FDDCFC" w14:textId="68BA6029" w:rsidR="00E44C78" w:rsidRDefault="009C58D4" w:rsidP="00D84D92">
      <w:r w:rsidRPr="002E5EB4">
        <w:t>E</w:t>
      </w:r>
      <w:r w:rsidR="00D97080" w:rsidRPr="002E5EB4">
        <w:t>l gobierno general</w:t>
      </w:r>
      <w:r w:rsidRPr="002E5EB4">
        <w:t xml:space="preserve"> al tercer trimestre </w:t>
      </w:r>
      <w:r w:rsidR="009178E7" w:rsidRPr="002E5EB4">
        <w:t>continúa</w:t>
      </w:r>
      <w:r w:rsidRPr="002E5EB4">
        <w:t xml:space="preserve"> </w:t>
      </w:r>
      <w:r w:rsidR="00D97080" w:rsidRPr="002E5EB4">
        <w:t>registr</w:t>
      </w:r>
      <w:r w:rsidRPr="002E5EB4">
        <w:t>ando un</w:t>
      </w:r>
      <w:r w:rsidR="00D97080" w:rsidRPr="002E5EB4">
        <w:t xml:space="preserve"> incremento en sus activos financieros por Q1,415.5 millones, dicho crecimiento se explica por el incremento e</w:t>
      </w:r>
      <w:r w:rsidR="00C4551B" w:rsidRPr="002E5EB4">
        <w:t>n</w:t>
      </w:r>
      <w:r w:rsidR="00D97080" w:rsidRPr="002E5EB4">
        <w:t xml:space="preserve"> títulos de deud</w:t>
      </w:r>
      <w:r w:rsidR="00C4551B" w:rsidRPr="002E5EB4">
        <w:t>a</w:t>
      </w:r>
      <w:r w:rsidR="00D97080" w:rsidRPr="002E5EB4">
        <w:t xml:space="preserve"> </w:t>
      </w:r>
      <w:r w:rsidR="008B70B5">
        <w:t>por un total de</w:t>
      </w:r>
      <w:r w:rsidR="00C4551B" w:rsidRPr="002E5EB4">
        <w:t xml:space="preserve"> </w:t>
      </w:r>
      <w:r w:rsidR="00D97080" w:rsidRPr="002E5EB4">
        <w:t xml:space="preserve">Q4,704.2 </w:t>
      </w:r>
      <w:r w:rsidR="00053294" w:rsidRPr="002E5EB4">
        <w:t xml:space="preserve">millones </w:t>
      </w:r>
      <w:r w:rsidR="008B70B5">
        <w:t xml:space="preserve">y </w:t>
      </w:r>
      <w:r w:rsidR="00053294" w:rsidRPr="002E5EB4">
        <w:t>el cual es explicado</w:t>
      </w:r>
      <w:r w:rsidR="00687E73" w:rsidRPr="002E5EB4">
        <w:t xml:space="preserve"> </w:t>
      </w:r>
      <w:r w:rsidR="00D97080" w:rsidRPr="002E5EB4">
        <w:t xml:space="preserve">principalmente </w:t>
      </w:r>
      <w:r w:rsidR="00053294" w:rsidRPr="002E5EB4">
        <w:t xml:space="preserve">por </w:t>
      </w:r>
      <w:r w:rsidR="00D97080" w:rsidRPr="002E5EB4">
        <w:t>los fondos de seguridad social</w:t>
      </w:r>
      <w:r w:rsidR="00D52F21" w:rsidRPr="002E5EB4">
        <w:t xml:space="preserve">. Los </w:t>
      </w:r>
      <w:r w:rsidR="00D97080" w:rsidRPr="002E5EB4">
        <w:t xml:space="preserve">activos en forma de billetes, monedas y depósitos (caja y bancos) </w:t>
      </w:r>
      <w:r w:rsidR="00D52F21" w:rsidRPr="002E5EB4">
        <w:t xml:space="preserve">disminuyeron </w:t>
      </w:r>
      <w:r w:rsidR="00B23A84" w:rsidRPr="002E5EB4">
        <w:t>en</w:t>
      </w:r>
      <w:r w:rsidR="00D97080" w:rsidRPr="002E5EB4">
        <w:t xml:space="preserve"> Q2,303.4 millones,</w:t>
      </w:r>
      <w:r w:rsidR="002E15F0" w:rsidRPr="002E5EB4">
        <w:t xml:space="preserve"> </w:t>
      </w:r>
      <w:r w:rsidR="000C2BF7" w:rsidRPr="002E5EB4">
        <w:t>al igual que</w:t>
      </w:r>
      <w:r w:rsidR="00D97080" w:rsidRPr="002E5EB4">
        <w:t xml:space="preserve"> las otras cuentas por cobrar </w:t>
      </w:r>
      <w:r w:rsidR="002E15F0" w:rsidRPr="002E5EB4">
        <w:t>en</w:t>
      </w:r>
      <w:r w:rsidR="00D97080" w:rsidRPr="002E5EB4">
        <w:t xml:space="preserve"> Q751.1 millones y los préstamos</w:t>
      </w:r>
      <w:r w:rsidR="00224F80" w:rsidRPr="002E5EB4">
        <w:t xml:space="preserve"> </w:t>
      </w:r>
      <w:r w:rsidR="00A642AA" w:rsidRPr="002E5EB4">
        <w:t xml:space="preserve">concedidos </w:t>
      </w:r>
      <w:r w:rsidR="00224F80" w:rsidRPr="002E5EB4">
        <w:t>en</w:t>
      </w:r>
      <w:r w:rsidR="00D97080" w:rsidRPr="002E5EB4">
        <w:t xml:space="preserve"> Q234.3 millones</w:t>
      </w:r>
      <w:r w:rsidR="00D84D92" w:rsidRPr="002E5EB4">
        <w:t>.</w:t>
      </w:r>
    </w:p>
    <w:tbl>
      <w:tblPr>
        <w:tblStyle w:val="Tablaconcuadrcula"/>
        <w:tblW w:w="9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3704"/>
      </w:tblGrid>
      <w:tr w:rsidR="002E5EB4" w:rsidRPr="002E5EB4" w14:paraId="6197819B" w14:textId="77777777" w:rsidTr="006F244A">
        <w:trPr>
          <w:trHeight w:val="507"/>
          <w:jc w:val="center"/>
        </w:trPr>
        <w:tc>
          <w:tcPr>
            <w:tcW w:w="9290" w:type="dxa"/>
            <w:gridSpan w:val="2"/>
          </w:tcPr>
          <w:p w14:paraId="78CB8C28" w14:textId="77777777" w:rsidR="002E5EB4" w:rsidRPr="006F244A" w:rsidRDefault="002E5EB4" w:rsidP="002E5EB4">
            <w:pPr>
              <w:spacing w:before="0" w:after="0"/>
              <w:jc w:val="center"/>
              <w:rPr>
                <w:b/>
                <w:bCs/>
              </w:rPr>
            </w:pPr>
            <w:r w:rsidRPr="006F244A">
              <w:rPr>
                <w:b/>
                <w:bCs/>
              </w:rPr>
              <w:t>Incurrimiento neto de activos financieros a septiembre de 2023*</w:t>
            </w:r>
          </w:p>
          <w:p w14:paraId="0FE865D6" w14:textId="6DF9E29D" w:rsidR="002E5EB4" w:rsidRPr="006F244A" w:rsidRDefault="002E5EB4" w:rsidP="006F244A">
            <w:pPr>
              <w:spacing w:before="0" w:after="0"/>
              <w:jc w:val="center"/>
              <w:rPr>
                <w:sz w:val="22"/>
                <w:szCs w:val="22"/>
              </w:rPr>
            </w:pPr>
            <w:r w:rsidRPr="006F244A">
              <w:t>En millones de quetzales</w:t>
            </w:r>
          </w:p>
        </w:tc>
      </w:tr>
      <w:tr w:rsidR="002E5EB4" w:rsidRPr="002E5EB4" w14:paraId="17F5E984" w14:textId="77777777" w:rsidTr="006F244A">
        <w:trPr>
          <w:trHeight w:val="3168"/>
          <w:jc w:val="center"/>
        </w:trPr>
        <w:tc>
          <w:tcPr>
            <w:tcW w:w="5586" w:type="dxa"/>
            <w:shd w:val="clear" w:color="auto" w:fill="auto"/>
          </w:tcPr>
          <w:p w14:paraId="0C54005D" w14:textId="795AF6DA" w:rsidR="002E5EB4" w:rsidRPr="002E5EB4" w:rsidRDefault="002E5EB4" w:rsidP="00F51AA6">
            <w:pPr>
              <w:spacing w:before="0" w:after="0"/>
            </w:pPr>
            <w:r w:rsidRPr="002E5EB4">
              <w:rPr>
                <w:b/>
                <w:bCs/>
                <w:noProof/>
                <w:lang w:eastAsia="es-GT"/>
              </w:rPr>
              <w:drawing>
                <wp:inline distT="0" distB="0" distL="0" distR="0" wp14:anchorId="31BD0128" wp14:editId="3AE22E07">
                  <wp:extent cx="3303905" cy="2078182"/>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3704" w:type="dxa"/>
          </w:tcPr>
          <w:p w14:paraId="0D9E963A" w14:textId="27B4B896" w:rsidR="002E5EB4" w:rsidRPr="002E5EB4" w:rsidRDefault="002E5EB4" w:rsidP="00F51AA6">
            <w:pPr>
              <w:spacing w:before="0" w:after="0"/>
              <w:ind w:right="-183"/>
            </w:pPr>
            <w:r w:rsidRPr="002E5EB4">
              <w:rPr>
                <w:noProof/>
                <w:lang w:eastAsia="es-GT"/>
              </w:rPr>
              <w:drawing>
                <wp:inline distT="0" distB="0" distL="0" distR="0" wp14:anchorId="5B1A248A" wp14:editId="14F89801">
                  <wp:extent cx="2209800" cy="2030680"/>
                  <wp:effectExtent l="0" t="0" r="0" b="825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E5EB4" w:rsidRPr="002E5EB4" w14:paraId="3E26D450" w14:textId="77777777" w:rsidTr="006F244A">
        <w:trPr>
          <w:trHeight w:val="57"/>
          <w:jc w:val="center"/>
        </w:trPr>
        <w:tc>
          <w:tcPr>
            <w:tcW w:w="5586" w:type="dxa"/>
            <w:shd w:val="clear" w:color="auto" w:fill="auto"/>
          </w:tcPr>
          <w:p w14:paraId="500C3A81" w14:textId="77777777" w:rsidR="002E5EB4" w:rsidRPr="002E5EB4" w:rsidRDefault="002E5EB4" w:rsidP="00F51AA6">
            <w:pPr>
              <w:spacing w:before="0" w:after="0"/>
              <w:rPr>
                <w:rFonts w:cs="Times New Roman"/>
                <w:sz w:val="16"/>
                <w:szCs w:val="22"/>
                <w:lang w:val="es-MX"/>
              </w:rPr>
            </w:pPr>
            <w:r w:rsidRPr="002E5EB4">
              <w:rPr>
                <w:rFonts w:cs="Times New Roman"/>
                <w:sz w:val="16"/>
                <w:szCs w:val="22"/>
                <w:lang w:val="es-MX"/>
              </w:rPr>
              <w:t>*Cifras preliminares</w:t>
            </w:r>
            <w:r w:rsidRPr="002E5EB4">
              <w:rPr>
                <w:rFonts w:cs="Times New Roman"/>
                <w:sz w:val="16"/>
                <w:szCs w:val="22"/>
                <w:lang w:val="es-MX"/>
              </w:rPr>
              <w:tab/>
            </w:r>
          </w:p>
          <w:p w14:paraId="002D40A2" w14:textId="77777777" w:rsidR="002E5EB4" w:rsidRPr="002E5EB4" w:rsidRDefault="002E5EB4" w:rsidP="00F51AA6">
            <w:pPr>
              <w:spacing w:before="0" w:after="0"/>
              <w:rPr>
                <w:rFonts w:cs="Times New Roman"/>
                <w:sz w:val="16"/>
                <w:szCs w:val="22"/>
                <w:lang w:val="es-MX"/>
              </w:rPr>
            </w:pPr>
            <w:r w:rsidRPr="002E5EB4">
              <w:rPr>
                <w:rFonts w:cs="Times New Roman"/>
                <w:sz w:val="16"/>
                <w:szCs w:val="22"/>
                <w:lang w:val="es-MX"/>
              </w:rPr>
              <w:t>Fuente: MINFIN</w:t>
            </w:r>
          </w:p>
        </w:tc>
        <w:tc>
          <w:tcPr>
            <w:tcW w:w="3704" w:type="dxa"/>
          </w:tcPr>
          <w:p w14:paraId="63152B31" w14:textId="77777777" w:rsidR="002E5EB4" w:rsidRPr="002E5EB4" w:rsidRDefault="002E5EB4" w:rsidP="00F51AA6">
            <w:pPr>
              <w:spacing w:before="0"/>
              <w:ind w:right="-183"/>
              <w:rPr>
                <w:noProof/>
                <w:lang w:eastAsia="es-GT"/>
              </w:rPr>
            </w:pPr>
          </w:p>
        </w:tc>
      </w:tr>
    </w:tbl>
    <w:p w14:paraId="7576D7F2" w14:textId="77777777" w:rsidR="003C7991" w:rsidRPr="002E5EB4" w:rsidRDefault="003C7991" w:rsidP="00B67B8F">
      <w:pPr>
        <w:spacing w:before="0" w:after="0"/>
        <w:rPr>
          <w:rFonts w:cs="Times New Roman"/>
          <w:sz w:val="16"/>
          <w:szCs w:val="22"/>
          <w:lang w:val="es-MX"/>
        </w:rPr>
      </w:pPr>
    </w:p>
    <w:p w14:paraId="19F7C5EB" w14:textId="3D293510" w:rsidR="0079227F" w:rsidRPr="002E5EB4" w:rsidRDefault="00136038" w:rsidP="0039579C">
      <w:pPr>
        <w:pStyle w:val="Ttulo2"/>
        <w:numPr>
          <w:ilvl w:val="1"/>
          <w:numId w:val="12"/>
        </w:numPr>
        <w:tabs>
          <w:tab w:val="left" w:pos="426"/>
        </w:tabs>
        <w:spacing w:before="0"/>
        <w:rPr>
          <w:rFonts w:cs="Times New Roman"/>
          <w:sz w:val="22"/>
          <w:szCs w:val="22"/>
        </w:rPr>
      </w:pPr>
      <w:bookmarkStart w:id="922" w:name="_Toc154158276"/>
      <w:r w:rsidRPr="002E5EB4">
        <w:rPr>
          <w:rFonts w:cs="Times New Roman"/>
          <w:sz w:val="22"/>
          <w:szCs w:val="22"/>
        </w:rPr>
        <w:t>I</w:t>
      </w:r>
      <w:r w:rsidR="00BB3EFE" w:rsidRPr="002E5EB4">
        <w:rPr>
          <w:rFonts w:cs="Times New Roman"/>
          <w:sz w:val="22"/>
          <w:szCs w:val="22"/>
        </w:rPr>
        <w:t>ncrement</w:t>
      </w:r>
      <w:r w:rsidR="006243FB" w:rsidRPr="002E5EB4">
        <w:rPr>
          <w:rFonts w:cs="Times New Roman"/>
          <w:sz w:val="22"/>
          <w:szCs w:val="22"/>
        </w:rPr>
        <w:t xml:space="preserve">o </w:t>
      </w:r>
      <w:r w:rsidR="008D4047" w:rsidRPr="002E5EB4">
        <w:rPr>
          <w:rFonts w:cs="Times New Roman"/>
          <w:sz w:val="22"/>
          <w:szCs w:val="22"/>
        </w:rPr>
        <w:t>d</w:t>
      </w:r>
      <w:r w:rsidR="000D58E9" w:rsidRPr="002E5EB4">
        <w:rPr>
          <w:rFonts w:cs="Times New Roman"/>
          <w:sz w:val="22"/>
          <w:szCs w:val="22"/>
        </w:rPr>
        <w:t xml:space="preserve">e </w:t>
      </w:r>
      <w:r w:rsidR="00790907" w:rsidRPr="002E5EB4">
        <w:rPr>
          <w:rFonts w:cs="Times New Roman"/>
          <w:sz w:val="22"/>
          <w:szCs w:val="22"/>
        </w:rPr>
        <w:t>pasivos</w:t>
      </w:r>
      <w:bookmarkEnd w:id="922"/>
    </w:p>
    <w:p w14:paraId="5457DA79" w14:textId="59F2A8D8" w:rsidR="00B30207" w:rsidRPr="002E5EB4" w:rsidRDefault="00766456" w:rsidP="00B51EB8">
      <w:r w:rsidRPr="00DB16B9">
        <w:t>En cuanto al uso de</w:t>
      </w:r>
      <w:r w:rsidR="000D58E9" w:rsidRPr="00DB16B9">
        <w:t xml:space="preserve"> pasivos</w:t>
      </w:r>
      <w:r w:rsidRPr="00DB16B9">
        <w:t>, estos</w:t>
      </w:r>
      <w:r w:rsidR="000D58E9" w:rsidRPr="00DB16B9">
        <w:t xml:space="preserve"> </w:t>
      </w:r>
      <w:r w:rsidR="00B51EB8" w:rsidRPr="00DB16B9">
        <w:t>registra</w:t>
      </w:r>
      <w:r w:rsidR="000D58E9" w:rsidRPr="00DB16B9">
        <w:t>ron</w:t>
      </w:r>
      <w:r w:rsidR="00B51EB8" w:rsidRPr="00DB16B9">
        <w:t xml:space="preserve"> </w:t>
      </w:r>
      <w:r w:rsidRPr="00DB16B9">
        <w:t xml:space="preserve">un </w:t>
      </w:r>
      <w:r w:rsidR="00AA313E" w:rsidRPr="00DB16B9">
        <w:t xml:space="preserve">aumento </w:t>
      </w:r>
      <w:r w:rsidRPr="00DB16B9">
        <w:t>de</w:t>
      </w:r>
      <w:r w:rsidR="00B51EB8" w:rsidRPr="00DB16B9">
        <w:t xml:space="preserve"> </w:t>
      </w:r>
      <w:r w:rsidR="00C8626D" w:rsidRPr="00DB16B9">
        <w:t>Q</w:t>
      </w:r>
      <w:r w:rsidR="00B51EB8" w:rsidRPr="00DB16B9">
        <w:t>4,</w:t>
      </w:r>
      <w:r w:rsidR="000D58E9" w:rsidRPr="00DB16B9">
        <w:t>072.4</w:t>
      </w:r>
      <w:r w:rsidR="00C8626D" w:rsidRPr="00DB16B9">
        <w:t xml:space="preserve"> </w:t>
      </w:r>
      <w:r w:rsidR="001A639D" w:rsidRPr="00DB16B9">
        <w:t>millones</w:t>
      </w:r>
      <w:r w:rsidR="00767824" w:rsidRPr="00DB16B9">
        <w:rPr>
          <w:rFonts w:cs="Times New Roman"/>
        </w:rPr>
        <w:t>.</w:t>
      </w:r>
      <w:r w:rsidR="000B070A" w:rsidRPr="00DB16B9">
        <w:rPr>
          <w:rFonts w:cs="Times New Roman"/>
        </w:rPr>
        <w:t xml:space="preserve"> </w:t>
      </w:r>
      <w:r w:rsidR="00FD0E0A" w:rsidRPr="00DB16B9">
        <w:rPr>
          <w:rFonts w:cs="Times New Roman"/>
        </w:rPr>
        <w:t>L</w:t>
      </w:r>
      <w:r w:rsidR="002F6680" w:rsidRPr="00DB16B9">
        <w:rPr>
          <w:rFonts w:cs="Times New Roman"/>
        </w:rPr>
        <w:t>os</w:t>
      </w:r>
      <w:r w:rsidR="00EE5C92" w:rsidRPr="00DB16B9">
        <w:t xml:space="preserve"> instrumentos financieros</w:t>
      </w:r>
      <w:r w:rsidR="002F6680" w:rsidRPr="00DB16B9">
        <w:t xml:space="preserve"> </w:t>
      </w:r>
      <w:r w:rsidR="0041778D" w:rsidRPr="00DB16B9">
        <w:t>más</w:t>
      </w:r>
      <w:r w:rsidR="00FD0E0A" w:rsidRPr="00DB16B9">
        <w:t xml:space="preserve"> </w:t>
      </w:r>
      <w:r w:rsidR="002F6680" w:rsidRPr="00DB16B9">
        <w:t>utilizados</w:t>
      </w:r>
      <w:r w:rsidR="00FD0E0A" w:rsidRPr="00DB16B9">
        <w:t xml:space="preserve"> han sido</w:t>
      </w:r>
      <w:r w:rsidR="00EE5C92" w:rsidRPr="00DB16B9">
        <w:t xml:space="preserve"> los</w:t>
      </w:r>
      <w:r w:rsidR="00624CCC" w:rsidRPr="00DB16B9">
        <w:t xml:space="preserve"> títulos de deuda </w:t>
      </w:r>
      <w:r w:rsidR="00E4613C" w:rsidRPr="00DB16B9">
        <w:t xml:space="preserve">que </w:t>
      </w:r>
      <w:r w:rsidR="00AA313E" w:rsidRPr="00DB16B9">
        <w:t>aumentaron</w:t>
      </w:r>
      <w:r w:rsidR="00EE5C92" w:rsidRPr="00DB16B9">
        <w:t xml:space="preserve"> en </w:t>
      </w:r>
      <w:r w:rsidR="00624CCC" w:rsidRPr="00DB16B9">
        <w:t>Q</w:t>
      </w:r>
      <w:r w:rsidR="00571BA2" w:rsidRPr="00DB16B9">
        <w:t>5,877.7</w:t>
      </w:r>
      <w:r w:rsidR="00624CCC" w:rsidRPr="00DB16B9">
        <w:t xml:space="preserve"> millones</w:t>
      </w:r>
      <w:r w:rsidR="00FD0E0A" w:rsidRPr="00DB16B9">
        <w:t>,</w:t>
      </w:r>
      <w:r w:rsidR="00770920" w:rsidRPr="00DB16B9">
        <w:t xml:space="preserve"> </w:t>
      </w:r>
      <w:r w:rsidR="00152D51" w:rsidRPr="00DB16B9">
        <w:t xml:space="preserve">principalmente </w:t>
      </w:r>
      <w:r w:rsidR="00E12E42" w:rsidRPr="00DB16B9">
        <w:t xml:space="preserve">en los </w:t>
      </w:r>
      <w:r w:rsidR="005F745D" w:rsidRPr="00DB16B9">
        <w:t xml:space="preserve">meses </w:t>
      </w:r>
      <w:r w:rsidR="00E12E42" w:rsidRPr="00DB16B9">
        <w:t>de</w:t>
      </w:r>
      <w:r w:rsidR="007863B5" w:rsidRPr="00DB16B9">
        <w:t xml:space="preserve"> mayo y junio</w:t>
      </w:r>
      <w:r w:rsidR="00AA313E" w:rsidRPr="00DB16B9">
        <w:t>,</w:t>
      </w:r>
      <w:r w:rsidR="00A0337F" w:rsidRPr="00DB16B9">
        <w:t xml:space="preserve"> en los cuales hubo una mayor emisión de</w:t>
      </w:r>
      <w:r w:rsidR="00936293" w:rsidRPr="00DB16B9">
        <w:t xml:space="preserve"> este </w:t>
      </w:r>
      <w:r w:rsidR="00A0337F" w:rsidRPr="00DB16B9">
        <w:t xml:space="preserve">instrumento </w:t>
      </w:r>
      <w:r w:rsidR="007863B5" w:rsidRPr="00DB16B9">
        <w:t>por Q167.0 millones y Q7,245.1 millones</w:t>
      </w:r>
      <w:r w:rsidR="00A17AA2" w:rsidRPr="00DB16B9">
        <w:t xml:space="preserve"> (cabe</w:t>
      </w:r>
      <w:r w:rsidR="00A17AA2">
        <w:t xml:space="preserve"> mencionar que en </w:t>
      </w:r>
      <w:r w:rsidR="00AB74C7">
        <w:t>junio se hizo</w:t>
      </w:r>
      <w:r w:rsidR="00A17AA2">
        <w:t xml:space="preserve"> la colocación de Eurobono por</w:t>
      </w:r>
      <w:r w:rsidR="00AB74C7">
        <w:t xml:space="preserve"> US$1,000 millones)</w:t>
      </w:r>
      <w:r w:rsidR="00AA313E">
        <w:t>,</w:t>
      </w:r>
      <w:r w:rsidR="00152D51">
        <w:t xml:space="preserve"> </w:t>
      </w:r>
      <w:r w:rsidR="00FD71DD" w:rsidRPr="00FD71DD">
        <w:t>mientras</w:t>
      </w:r>
      <w:r w:rsidR="00026FD8">
        <w:t xml:space="preserve"> que </w:t>
      </w:r>
      <w:r w:rsidR="0014044D">
        <w:t xml:space="preserve">en </w:t>
      </w:r>
      <w:r w:rsidR="00026FD8">
        <w:t>el resto de los meses</w:t>
      </w:r>
      <w:r w:rsidR="00D37E99">
        <w:t xml:space="preserve"> los vencimientos han sido superiores a las colocaciones</w:t>
      </w:r>
      <w:r w:rsidR="00714EAE">
        <w:t xml:space="preserve"> por lo que se observaron reducci</w:t>
      </w:r>
      <w:r w:rsidR="00E13995">
        <w:t>ones</w:t>
      </w:r>
      <w:r w:rsidR="00714EAE">
        <w:t xml:space="preserve"> de este instrumento financiero</w:t>
      </w:r>
      <w:r w:rsidR="00D37E99">
        <w:t xml:space="preserve">. En cuanto a los </w:t>
      </w:r>
      <w:r w:rsidR="00FD71DD" w:rsidRPr="00FD71DD">
        <w:t>préstamos</w:t>
      </w:r>
      <w:r w:rsidR="00FB3C82">
        <w:t>,</w:t>
      </w:r>
      <w:r w:rsidR="00FD71DD" w:rsidRPr="00FD71DD">
        <w:t xml:space="preserve"> </w:t>
      </w:r>
      <w:r w:rsidR="00FB3C82">
        <w:t xml:space="preserve">estos </w:t>
      </w:r>
      <w:r w:rsidR="00FD71DD" w:rsidRPr="00FD71DD">
        <w:t>se</w:t>
      </w:r>
      <w:r w:rsidR="00116481">
        <w:t xml:space="preserve"> redujeron en</w:t>
      </w:r>
      <w:r w:rsidR="00FD71DD" w:rsidRPr="00FD71DD">
        <w:t xml:space="preserve"> Q1,511.3 millones y las cuentas por pagar en Q294.0 millones.</w:t>
      </w:r>
    </w:p>
    <w:tbl>
      <w:tblPr>
        <w:tblStyle w:val="Tablaconcuadrcula"/>
        <w:tblW w:w="9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3704"/>
      </w:tblGrid>
      <w:tr w:rsidR="0061446B" w:rsidRPr="002E5EB4" w14:paraId="170F85A0" w14:textId="77777777" w:rsidTr="008B2D72">
        <w:trPr>
          <w:trHeight w:val="6"/>
          <w:jc w:val="center"/>
        </w:trPr>
        <w:tc>
          <w:tcPr>
            <w:tcW w:w="9290" w:type="dxa"/>
            <w:gridSpan w:val="2"/>
          </w:tcPr>
          <w:p w14:paraId="53CD2781" w14:textId="3DAF9930" w:rsidR="0061446B" w:rsidRPr="006F244A" w:rsidRDefault="0061446B" w:rsidP="00526FB8">
            <w:pPr>
              <w:spacing w:before="0" w:after="0"/>
              <w:jc w:val="center"/>
              <w:rPr>
                <w:b/>
                <w:bCs/>
              </w:rPr>
            </w:pPr>
            <w:r w:rsidRPr="006F244A">
              <w:rPr>
                <w:b/>
                <w:bCs/>
              </w:rPr>
              <w:t>Incurrimiento neto de pasivos</w:t>
            </w:r>
            <w:r w:rsidR="009D176B" w:rsidRPr="006F244A">
              <w:rPr>
                <w:b/>
                <w:bCs/>
              </w:rPr>
              <w:t xml:space="preserve"> </w:t>
            </w:r>
            <w:r w:rsidR="00927F50" w:rsidRPr="006F244A">
              <w:rPr>
                <w:b/>
                <w:bCs/>
              </w:rPr>
              <w:t>a</w:t>
            </w:r>
            <w:r w:rsidR="00C73FE4" w:rsidRPr="006F244A">
              <w:rPr>
                <w:b/>
                <w:bCs/>
              </w:rPr>
              <w:t xml:space="preserve"> </w:t>
            </w:r>
            <w:r w:rsidR="00927F50" w:rsidRPr="006F244A">
              <w:rPr>
                <w:b/>
                <w:bCs/>
              </w:rPr>
              <w:t xml:space="preserve">septiembre </w:t>
            </w:r>
            <w:r w:rsidR="00B435E7" w:rsidRPr="006F244A">
              <w:rPr>
                <w:b/>
                <w:bCs/>
              </w:rPr>
              <w:t xml:space="preserve">de </w:t>
            </w:r>
            <w:r w:rsidR="009D176B" w:rsidRPr="006F244A">
              <w:rPr>
                <w:b/>
                <w:bCs/>
              </w:rPr>
              <w:t>202</w:t>
            </w:r>
            <w:r w:rsidR="00EC22FE" w:rsidRPr="006F244A">
              <w:rPr>
                <w:b/>
                <w:bCs/>
              </w:rPr>
              <w:t>3</w:t>
            </w:r>
            <w:r w:rsidR="009D176B" w:rsidRPr="006F244A">
              <w:rPr>
                <w:b/>
                <w:bCs/>
              </w:rPr>
              <w:t>*</w:t>
            </w:r>
          </w:p>
          <w:p w14:paraId="0071567C" w14:textId="7C84D8B8" w:rsidR="0061446B" w:rsidRPr="002E5EB4" w:rsidRDefault="0061446B" w:rsidP="00526FB8">
            <w:pPr>
              <w:spacing w:before="0" w:after="0"/>
              <w:jc w:val="center"/>
            </w:pPr>
            <w:r w:rsidRPr="006F244A">
              <w:t xml:space="preserve">En </w:t>
            </w:r>
            <w:r w:rsidR="006535F3" w:rsidRPr="006F244A">
              <w:t>millones</w:t>
            </w:r>
            <w:r w:rsidRPr="006F244A">
              <w:t xml:space="preserve"> de Quetzales</w:t>
            </w:r>
          </w:p>
        </w:tc>
      </w:tr>
      <w:tr w:rsidR="00D36792" w:rsidRPr="002E5EB4" w14:paraId="2690E1D3" w14:textId="77777777" w:rsidTr="008B2D72">
        <w:trPr>
          <w:trHeight w:val="96"/>
          <w:jc w:val="center"/>
        </w:trPr>
        <w:tc>
          <w:tcPr>
            <w:tcW w:w="5586" w:type="dxa"/>
            <w:shd w:val="clear" w:color="auto" w:fill="auto"/>
          </w:tcPr>
          <w:p w14:paraId="38032EE6" w14:textId="4645D7B5" w:rsidR="00F674B9" w:rsidRPr="002E5EB4" w:rsidRDefault="00D34AFD" w:rsidP="003C7991">
            <w:pPr>
              <w:spacing w:before="0" w:after="0"/>
            </w:pPr>
            <w:r w:rsidRPr="002E5EB4">
              <w:rPr>
                <w:b/>
                <w:bCs/>
                <w:noProof/>
                <w:lang w:eastAsia="es-GT"/>
              </w:rPr>
              <w:drawing>
                <wp:inline distT="0" distB="0" distL="0" distR="0" wp14:anchorId="00712202" wp14:editId="2C44C790">
                  <wp:extent cx="3578860" cy="2078182"/>
                  <wp:effectExtent l="0" t="0" r="2540" b="0"/>
                  <wp:docPr id="964173153" name="Gráfico 964173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3704" w:type="dxa"/>
          </w:tcPr>
          <w:p w14:paraId="6D2B05F8" w14:textId="3F5AD2E5" w:rsidR="00F674B9" w:rsidRPr="002E5EB4" w:rsidRDefault="00A8309B" w:rsidP="00757491">
            <w:pPr>
              <w:spacing w:before="0" w:after="0"/>
              <w:ind w:right="-183"/>
            </w:pPr>
            <w:r w:rsidRPr="002E5EB4">
              <w:rPr>
                <w:noProof/>
                <w:lang w:eastAsia="es-GT"/>
              </w:rPr>
              <w:drawing>
                <wp:inline distT="0" distB="0" distL="0" distR="0" wp14:anchorId="1A595F87" wp14:editId="634A495C">
                  <wp:extent cx="2267712" cy="1983105"/>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9472CA" w:rsidRPr="002E5EB4" w14:paraId="1A0ADA1E" w14:textId="77777777" w:rsidTr="008B2D72">
        <w:trPr>
          <w:trHeight w:val="96"/>
          <w:jc w:val="center"/>
        </w:trPr>
        <w:tc>
          <w:tcPr>
            <w:tcW w:w="5586" w:type="dxa"/>
            <w:shd w:val="clear" w:color="auto" w:fill="auto"/>
          </w:tcPr>
          <w:p w14:paraId="2D5E61AE" w14:textId="77777777" w:rsidR="009472CA" w:rsidRPr="002E5EB4" w:rsidRDefault="009472CA" w:rsidP="009472CA">
            <w:pPr>
              <w:spacing w:before="0" w:after="0"/>
              <w:rPr>
                <w:rFonts w:cs="Times New Roman"/>
                <w:sz w:val="16"/>
                <w:szCs w:val="22"/>
                <w:lang w:val="es-MX"/>
              </w:rPr>
            </w:pPr>
            <w:r w:rsidRPr="002E5EB4">
              <w:rPr>
                <w:rFonts w:cs="Times New Roman"/>
                <w:sz w:val="16"/>
                <w:szCs w:val="22"/>
                <w:lang w:val="es-MX"/>
              </w:rPr>
              <w:t>*Cifras preliminares</w:t>
            </w:r>
            <w:r w:rsidRPr="002E5EB4">
              <w:rPr>
                <w:rFonts w:cs="Times New Roman"/>
                <w:sz w:val="16"/>
                <w:szCs w:val="22"/>
                <w:lang w:val="es-MX"/>
              </w:rPr>
              <w:tab/>
            </w:r>
          </w:p>
          <w:p w14:paraId="359064DF" w14:textId="0FF8F741" w:rsidR="009472CA" w:rsidRPr="002E5EB4" w:rsidRDefault="009472CA" w:rsidP="009472CA">
            <w:pPr>
              <w:spacing w:before="0" w:after="0"/>
              <w:rPr>
                <w:rFonts w:cs="Times New Roman"/>
                <w:sz w:val="16"/>
                <w:szCs w:val="22"/>
                <w:lang w:val="es-MX"/>
              </w:rPr>
            </w:pPr>
            <w:r w:rsidRPr="002E5EB4">
              <w:rPr>
                <w:rFonts w:cs="Times New Roman"/>
                <w:sz w:val="16"/>
                <w:szCs w:val="22"/>
                <w:lang w:val="es-MX"/>
              </w:rPr>
              <w:t>Fuente: MINFIN</w:t>
            </w:r>
          </w:p>
        </w:tc>
        <w:tc>
          <w:tcPr>
            <w:tcW w:w="3704" w:type="dxa"/>
          </w:tcPr>
          <w:p w14:paraId="7F7A8345" w14:textId="77777777" w:rsidR="009472CA" w:rsidRPr="002E5EB4" w:rsidRDefault="009472CA" w:rsidP="004579E2">
            <w:pPr>
              <w:spacing w:before="0"/>
              <w:ind w:right="-183"/>
              <w:rPr>
                <w:noProof/>
                <w:lang w:eastAsia="es-GT"/>
              </w:rPr>
            </w:pPr>
          </w:p>
        </w:tc>
      </w:tr>
    </w:tbl>
    <w:p w14:paraId="1F341054" w14:textId="2EB509CA" w:rsidR="00F4077C" w:rsidRPr="002E5EB4" w:rsidRDefault="00F4077C" w:rsidP="000A1A0B">
      <w:pPr>
        <w:pStyle w:val="Ttulo1"/>
        <w:numPr>
          <w:ilvl w:val="0"/>
          <w:numId w:val="12"/>
        </w:numPr>
        <w:rPr>
          <w:lang w:val="es-ES_tradnl" w:eastAsia="es-ES"/>
        </w:rPr>
      </w:pPr>
      <w:bookmarkStart w:id="923" w:name="_Toc42023970"/>
      <w:bookmarkStart w:id="924" w:name="_Toc42024021"/>
      <w:bookmarkStart w:id="925" w:name="_Toc42023971"/>
      <w:bookmarkStart w:id="926" w:name="_Toc42024022"/>
      <w:bookmarkStart w:id="927" w:name="_Toc42023972"/>
      <w:bookmarkStart w:id="928" w:name="_Toc42024023"/>
      <w:bookmarkStart w:id="929" w:name="_Toc42023973"/>
      <w:bookmarkStart w:id="930" w:name="_Toc42024024"/>
      <w:bookmarkStart w:id="931" w:name="_Toc154158277"/>
      <w:bookmarkEnd w:id="923"/>
      <w:bookmarkEnd w:id="924"/>
      <w:bookmarkEnd w:id="925"/>
      <w:bookmarkEnd w:id="926"/>
      <w:bookmarkEnd w:id="927"/>
      <w:bookmarkEnd w:id="928"/>
      <w:bookmarkEnd w:id="929"/>
      <w:bookmarkEnd w:id="930"/>
      <w:r w:rsidRPr="002E5EB4">
        <w:rPr>
          <w:lang w:val="es-MX"/>
        </w:rPr>
        <w:lastRenderedPageBreak/>
        <w:t>Erogaciones</w:t>
      </w:r>
      <w:r w:rsidR="00B50E45" w:rsidRPr="002E5EB4">
        <w:rPr>
          <w:lang w:val="es-ES_tradnl" w:eastAsia="es-ES"/>
        </w:rPr>
        <w:t xml:space="preserve"> </w:t>
      </w:r>
      <w:r w:rsidR="00ED6F84" w:rsidRPr="002E5EB4">
        <w:rPr>
          <w:lang w:val="es-ES_tradnl" w:eastAsia="es-ES"/>
        </w:rPr>
        <w:t>por funciones de gobierno</w:t>
      </w:r>
      <w:bookmarkEnd w:id="931"/>
    </w:p>
    <w:p w14:paraId="17E5690A" w14:textId="6A68CC7A" w:rsidR="000F19C1" w:rsidRPr="002E5EB4" w:rsidRDefault="000F19C1" w:rsidP="00101051">
      <w:pPr>
        <w:rPr>
          <w:rFonts w:eastAsiaTheme="majorEastAsia" w:cs="Times New Roman"/>
          <w:b/>
          <w:bCs/>
          <w:caps/>
          <w:vanish/>
          <w:sz w:val="24"/>
          <w:szCs w:val="26"/>
          <w:lang w:eastAsia="es-ES"/>
        </w:rPr>
      </w:pPr>
    </w:p>
    <w:p w14:paraId="56FB527D"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932" w:name="_Toc55374010"/>
      <w:bookmarkStart w:id="933" w:name="_Toc55375147"/>
      <w:bookmarkStart w:id="934" w:name="_Toc55396555"/>
      <w:bookmarkStart w:id="935" w:name="_Toc65230552"/>
      <w:bookmarkStart w:id="936" w:name="_Toc65230790"/>
      <w:bookmarkStart w:id="937" w:name="_Toc65232074"/>
      <w:bookmarkStart w:id="938" w:name="_Toc65232319"/>
      <w:bookmarkStart w:id="939" w:name="_Toc66716178"/>
      <w:bookmarkStart w:id="940" w:name="_Toc71097222"/>
      <w:bookmarkStart w:id="941" w:name="_Toc71097253"/>
      <w:bookmarkStart w:id="942" w:name="_Toc71097328"/>
      <w:bookmarkStart w:id="943" w:name="_Toc71108068"/>
      <w:bookmarkStart w:id="944" w:name="_Toc79055262"/>
      <w:bookmarkStart w:id="945" w:name="_Toc79055293"/>
      <w:bookmarkStart w:id="946" w:name="_Toc79060184"/>
      <w:bookmarkStart w:id="947" w:name="_Toc79060471"/>
      <w:bookmarkStart w:id="948" w:name="_Toc81307828"/>
      <w:bookmarkStart w:id="949" w:name="_Toc83376489"/>
      <w:bookmarkStart w:id="950" w:name="_Toc86386728"/>
      <w:bookmarkStart w:id="951" w:name="_Toc86405414"/>
      <w:bookmarkStart w:id="952" w:name="_Toc98162444"/>
      <w:bookmarkStart w:id="953" w:name="_Toc98162476"/>
      <w:bookmarkStart w:id="954" w:name="_Toc98235002"/>
      <w:bookmarkStart w:id="955" w:name="_Toc98235197"/>
      <w:bookmarkStart w:id="956" w:name="_Toc98235282"/>
      <w:bookmarkStart w:id="957" w:name="_Toc98757152"/>
      <w:bookmarkStart w:id="958" w:name="_Toc101874707"/>
      <w:bookmarkStart w:id="959" w:name="_Toc101954163"/>
      <w:bookmarkStart w:id="960" w:name="_Toc101971980"/>
      <w:bookmarkStart w:id="961" w:name="_Toc101974072"/>
      <w:bookmarkStart w:id="962" w:name="_Toc102039757"/>
      <w:bookmarkStart w:id="963" w:name="_Toc102039795"/>
      <w:bookmarkStart w:id="964" w:name="_Toc102039835"/>
      <w:bookmarkStart w:id="965" w:name="_Toc102039866"/>
      <w:bookmarkStart w:id="966" w:name="_Toc102040924"/>
      <w:bookmarkStart w:id="967" w:name="_Toc102477772"/>
      <w:bookmarkStart w:id="968" w:name="_Toc102477803"/>
      <w:bookmarkStart w:id="969" w:name="_Toc109824833"/>
      <w:bookmarkStart w:id="970" w:name="_Toc109828789"/>
      <w:bookmarkStart w:id="971" w:name="_Toc109828852"/>
      <w:bookmarkStart w:id="972" w:name="_Toc109829028"/>
      <w:bookmarkStart w:id="973" w:name="_Toc109829059"/>
      <w:bookmarkStart w:id="974" w:name="_Toc109833903"/>
      <w:bookmarkStart w:id="975" w:name="_Toc110237446"/>
      <w:bookmarkStart w:id="976" w:name="_Toc117775323"/>
      <w:bookmarkStart w:id="977" w:name="_Toc117781292"/>
      <w:bookmarkStart w:id="978" w:name="_Toc125620820"/>
      <w:bookmarkStart w:id="979" w:name="_Toc125620851"/>
      <w:bookmarkStart w:id="980" w:name="_Toc125620882"/>
      <w:bookmarkStart w:id="981" w:name="_Toc125620918"/>
      <w:bookmarkStart w:id="982" w:name="_Toc125620949"/>
      <w:bookmarkStart w:id="983" w:name="_Toc125620983"/>
      <w:bookmarkStart w:id="984" w:name="_Toc125621036"/>
      <w:bookmarkStart w:id="985" w:name="_Toc125621090"/>
      <w:bookmarkStart w:id="986" w:name="_Toc125623568"/>
      <w:bookmarkStart w:id="987" w:name="_Toc125623600"/>
      <w:bookmarkStart w:id="988" w:name="_Toc125623632"/>
      <w:bookmarkStart w:id="989" w:name="_Toc125970378"/>
      <w:bookmarkStart w:id="990" w:name="_Toc125970410"/>
      <w:bookmarkStart w:id="991" w:name="_Toc127365861"/>
      <w:bookmarkStart w:id="992" w:name="_Toc127434612"/>
      <w:bookmarkStart w:id="993" w:name="_Toc127436980"/>
      <w:bookmarkStart w:id="994" w:name="_Toc127437341"/>
      <w:bookmarkStart w:id="995" w:name="_Toc127437696"/>
      <w:bookmarkStart w:id="996" w:name="_Toc135128850"/>
      <w:bookmarkStart w:id="997" w:name="_Toc135128883"/>
      <w:bookmarkStart w:id="998" w:name="_Toc135133723"/>
      <w:bookmarkStart w:id="999" w:name="_Toc135143060"/>
      <w:bookmarkStart w:id="1000" w:name="_Toc135819378"/>
      <w:bookmarkStart w:id="1001" w:name="_Toc136329495"/>
      <w:bookmarkStart w:id="1002" w:name="_Toc136329616"/>
      <w:bookmarkStart w:id="1003" w:name="_Toc136611293"/>
      <w:bookmarkStart w:id="1004" w:name="_Toc136611338"/>
      <w:bookmarkStart w:id="1005" w:name="_Toc136611455"/>
      <w:bookmarkStart w:id="1006" w:name="_Toc136611502"/>
      <w:bookmarkStart w:id="1007" w:name="_Toc136611590"/>
      <w:bookmarkStart w:id="1008" w:name="_Toc139876582"/>
      <w:bookmarkStart w:id="1009" w:name="_Toc139876609"/>
      <w:bookmarkStart w:id="1010" w:name="_Toc139876859"/>
      <w:bookmarkStart w:id="1011" w:name="_Toc139876887"/>
      <w:bookmarkStart w:id="1012" w:name="_Toc139876923"/>
      <w:bookmarkStart w:id="1013" w:name="_Toc142898579"/>
      <w:bookmarkStart w:id="1014" w:name="_Toc143164416"/>
      <w:bookmarkStart w:id="1015" w:name="_Toc143164509"/>
      <w:bookmarkStart w:id="1016" w:name="_Toc143164537"/>
      <w:bookmarkStart w:id="1017" w:name="_Toc143167428"/>
      <w:bookmarkStart w:id="1018" w:name="_Toc143170067"/>
      <w:bookmarkStart w:id="1019" w:name="_Toc153871599"/>
      <w:bookmarkStart w:id="1020" w:name="_Toc153871635"/>
      <w:bookmarkStart w:id="1021" w:name="_Toc153871878"/>
      <w:bookmarkStart w:id="1022" w:name="_Toc153871943"/>
      <w:bookmarkStart w:id="1023" w:name="_Toc153891195"/>
      <w:bookmarkStart w:id="1024" w:name="_Toc153891302"/>
      <w:bookmarkStart w:id="1025" w:name="_Toc153981074"/>
      <w:bookmarkStart w:id="1026" w:name="_Toc153981141"/>
      <w:bookmarkStart w:id="1027" w:name="_Toc153981171"/>
      <w:bookmarkStart w:id="1028" w:name="_Toc153981200"/>
      <w:bookmarkStart w:id="1029" w:name="_Toc153981291"/>
      <w:bookmarkStart w:id="1030" w:name="_Toc153981320"/>
      <w:bookmarkStart w:id="1031" w:name="_Toc153981375"/>
      <w:bookmarkStart w:id="1032" w:name="_Toc153981404"/>
      <w:bookmarkStart w:id="1033" w:name="_Toc153982130"/>
      <w:bookmarkStart w:id="1034" w:name="_Toc154041130"/>
      <w:bookmarkStart w:id="1035" w:name="_Toc154049291"/>
      <w:bookmarkStart w:id="1036" w:name="_Toc154158278"/>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0298658C"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037" w:name="_Toc55374011"/>
      <w:bookmarkStart w:id="1038" w:name="_Toc55375148"/>
      <w:bookmarkStart w:id="1039" w:name="_Toc55396556"/>
      <w:bookmarkStart w:id="1040" w:name="_Toc65230553"/>
      <w:bookmarkStart w:id="1041" w:name="_Toc65230791"/>
      <w:bookmarkStart w:id="1042" w:name="_Toc65232075"/>
      <w:bookmarkStart w:id="1043" w:name="_Toc65232320"/>
      <w:bookmarkStart w:id="1044" w:name="_Toc66716179"/>
      <w:bookmarkStart w:id="1045" w:name="_Toc71097223"/>
      <w:bookmarkStart w:id="1046" w:name="_Toc71097254"/>
      <w:bookmarkStart w:id="1047" w:name="_Toc71097329"/>
      <w:bookmarkStart w:id="1048" w:name="_Toc71108069"/>
      <w:bookmarkStart w:id="1049" w:name="_Toc79055263"/>
      <w:bookmarkStart w:id="1050" w:name="_Toc79055294"/>
      <w:bookmarkStart w:id="1051" w:name="_Toc79060185"/>
      <w:bookmarkStart w:id="1052" w:name="_Toc79060472"/>
      <w:bookmarkStart w:id="1053" w:name="_Toc81307829"/>
      <w:bookmarkStart w:id="1054" w:name="_Toc83376490"/>
      <w:bookmarkStart w:id="1055" w:name="_Toc86386729"/>
      <w:bookmarkStart w:id="1056" w:name="_Toc86405415"/>
      <w:bookmarkStart w:id="1057" w:name="_Toc98162445"/>
      <w:bookmarkStart w:id="1058" w:name="_Toc98162477"/>
      <w:bookmarkStart w:id="1059" w:name="_Toc98235003"/>
      <w:bookmarkStart w:id="1060" w:name="_Toc98235198"/>
      <w:bookmarkStart w:id="1061" w:name="_Toc98235283"/>
      <w:bookmarkStart w:id="1062" w:name="_Toc98757153"/>
      <w:bookmarkStart w:id="1063" w:name="_Toc101874708"/>
      <w:bookmarkStart w:id="1064" w:name="_Toc101954164"/>
      <w:bookmarkStart w:id="1065" w:name="_Toc101971981"/>
      <w:bookmarkStart w:id="1066" w:name="_Toc101974073"/>
      <w:bookmarkStart w:id="1067" w:name="_Toc102039758"/>
      <w:bookmarkStart w:id="1068" w:name="_Toc102039796"/>
      <w:bookmarkStart w:id="1069" w:name="_Toc102039836"/>
      <w:bookmarkStart w:id="1070" w:name="_Toc102039867"/>
      <w:bookmarkStart w:id="1071" w:name="_Toc102040925"/>
      <w:bookmarkStart w:id="1072" w:name="_Toc102477773"/>
      <w:bookmarkStart w:id="1073" w:name="_Toc102477804"/>
      <w:bookmarkStart w:id="1074" w:name="_Toc109824834"/>
      <w:bookmarkStart w:id="1075" w:name="_Toc109828790"/>
      <w:bookmarkStart w:id="1076" w:name="_Toc109828853"/>
      <w:bookmarkStart w:id="1077" w:name="_Toc109829029"/>
      <w:bookmarkStart w:id="1078" w:name="_Toc109829060"/>
      <w:bookmarkStart w:id="1079" w:name="_Toc109833904"/>
      <w:bookmarkStart w:id="1080" w:name="_Toc110237447"/>
      <w:bookmarkStart w:id="1081" w:name="_Toc117775324"/>
      <w:bookmarkStart w:id="1082" w:name="_Toc117781293"/>
      <w:bookmarkStart w:id="1083" w:name="_Toc125620821"/>
      <w:bookmarkStart w:id="1084" w:name="_Toc125620852"/>
      <w:bookmarkStart w:id="1085" w:name="_Toc125620883"/>
      <w:bookmarkStart w:id="1086" w:name="_Toc125620919"/>
      <w:bookmarkStart w:id="1087" w:name="_Toc125620950"/>
      <w:bookmarkStart w:id="1088" w:name="_Toc125620984"/>
      <w:bookmarkStart w:id="1089" w:name="_Toc125621037"/>
      <w:bookmarkStart w:id="1090" w:name="_Toc125621091"/>
      <w:bookmarkStart w:id="1091" w:name="_Toc125623569"/>
      <w:bookmarkStart w:id="1092" w:name="_Toc125623601"/>
      <w:bookmarkStart w:id="1093" w:name="_Toc125623633"/>
      <w:bookmarkStart w:id="1094" w:name="_Toc125970379"/>
      <w:bookmarkStart w:id="1095" w:name="_Toc125970411"/>
      <w:bookmarkStart w:id="1096" w:name="_Toc127365862"/>
      <w:bookmarkStart w:id="1097" w:name="_Toc127434613"/>
      <w:bookmarkStart w:id="1098" w:name="_Toc127436981"/>
      <w:bookmarkStart w:id="1099" w:name="_Toc127437342"/>
      <w:bookmarkStart w:id="1100" w:name="_Toc127437697"/>
      <w:bookmarkStart w:id="1101" w:name="_Toc135128851"/>
      <w:bookmarkStart w:id="1102" w:name="_Toc135128884"/>
      <w:bookmarkStart w:id="1103" w:name="_Toc135133724"/>
      <w:bookmarkStart w:id="1104" w:name="_Toc135143061"/>
      <w:bookmarkStart w:id="1105" w:name="_Toc135819379"/>
      <w:bookmarkStart w:id="1106" w:name="_Toc136329496"/>
      <w:bookmarkStart w:id="1107" w:name="_Toc136329617"/>
      <w:bookmarkStart w:id="1108" w:name="_Toc136611294"/>
      <w:bookmarkStart w:id="1109" w:name="_Toc136611339"/>
      <w:bookmarkStart w:id="1110" w:name="_Toc136611456"/>
      <w:bookmarkStart w:id="1111" w:name="_Toc136611503"/>
      <w:bookmarkStart w:id="1112" w:name="_Toc136611591"/>
      <w:bookmarkStart w:id="1113" w:name="_Toc139876583"/>
      <w:bookmarkStart w:id="1114" w:name="_Toc139876610"/>
      <w:bookmarkStart w:id="1115" w:name="_Toc139876860"/>
      <w:bookmarkStart w:id="1116" w:name="_Toc139876888"/>
      <w:bookmarkStart w:id="1117" w:name="_Toc139876924"/>
      <w:bookmarkStart w:id="1118" w:name="_Toc142898580"/>
      <w:bookmarkStart w:id="1119" w:name="_Toc143164417"/>
      <w:bookmarkStart w:id="1120" w:name="_Toc143164510"/>
      <w:bookmarkStart w:id="1121" w:name="_Toc143164538"/>
      <w:bookmarkStart w:id="1122" w:name="_Toc143167429"/>
      <w:bookmarkStart w:id="1123" w:name="_Toc143170068"/>
      <w:bookmarkStart w:id="1124" w:name="_Toc153871600"/>
      <w:bookmarkStart w:id="1125" w:name="_Toc153871636"/>
      <w:bookmarkStart w:id="1126" w:name="_Toc153871879"/>
      <w:bookmarkStart w:id="1127" w:name="_Toc153871944"/>
      <w:bookmarkStart w:id="1128" w:name="_Toc153891196"/>
      <w:bookmarkStart w:id="1129" w:name="_Toc153891303"/>
      <w:bookmarkStart w:id="1130" w:name="_Toc153981075"/>
      <w:bookmarkStart w:id="1131" w:name="_Toc153981142"/>
      <w:bookmarkStart w:id="1132" w:name="_Toc153981172"/>
      <w:bookmarkStart w:id="1133" w:name="_Toc153981201"/>
      <w:bookmarkStart w:id="1134" w:name="_Toc153981292"/>
      <w:bookmarkStart w:id="1135" w:name="_Toc153981321"/>
      <w:bookmarkStart w:id="1136" w:name="_Toc153981376"/>
      <w:bookmarkStart w:id="1137" w:name="_Toc153981405"/>
      <w:bookmarkStart w:id="1138" w:name="_Toc153982131"/>
      <w:bookmarkStart w:id="1139" w:name="_Toc154041131"/>
      <w:bookmarkStart w:id="1140" w:name="_Toc154049292"/>
      <w:bookmarkStart w:id="1141" w:name="_Toc154158279"/>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2B7C610F"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142" w:name="_Toc55374012"/>
      <w:bookmarkStart w:id="1143" w:name="_Toc55375149"/>
      <w:bookmarkStart w:id="1144" w:name="_Toc55396557"/>
      <w:bookmarkStart w:id="1145" w:name="_Toc65230554"/>
      <w:bookmarkStart w:id="1146" w:name="_Toc65230792"/>
      <w:bookmarkStart w:id="1147" w:name="_Toc65232076"/>
      <w:bookmarkStart w:id="1148" w:name="_Toc65232321"/>
      <w:bookmarkStart w:id="1149" w:name="_Toc66716180"/>
      <w:bookmarkStart w:id="1150" w:name="_Toc71097224"/>
      <w:bookmarkStart w:id="1151" w:name="_Toc71097255"/>
      <w:bookmarkStart w:id="1152" w:name="_Toc71097330"/>
      <w:bookmarkStart w:id="1153" w:name="_Toc71108070"/>
      <w:bookmarkStart w:id="1154" w:name="_Toc79055264"/>
      <w:bookmarkStart w:id="1155" w:name="_Toc79055295"/>
      <w:bookmarkStart w:id="1156" w:name="_Toc79060186"/>
      <w:bookmarkStart w:id="1157" w:name="_Toc79060473"/>
      <w:bookmarkStart w:id="1158" w:name="_Toc81307830"/>
      <w:bookmarkStart w:id="1159" w:name="_Toc83376491"/>
      <w:bookmarkStart w:id="1160" w:name="_Toc86386730"/>
      <w:bookmarkStart w:id="1161" w:name="_Toc86405416"/>
      <w:bookmarkStart w:id="1162" w:name="_Toc98162446"/>
      <w:bookmarkStart w:id="1163" w:name="_Toc98162478"/>
      <w:bookmarkStart w:id="1164" w:name="_Toc98235004"/>
      <w:bookmarkStart w:id="1165" w:name="_Toc98235199"/>
      <w:bookmarkStart w:id="1166" w:name="_Toc98235284"/>
      <w:bookmarkStart w:id="1167" w:name="_Toc98757154"/>
      <w:bookmarkStart w:id="1168" w:name="_Toc101874709"/>
      <w:bookmarkStart w:id="1169" w:name="_Toc101954165"/>
      <w:bookmarkStart w:id="1170" w:name="_Toc101971982"/>
      <w:bookmarkStart w:id="1171" w:name="_Toc101974074"/>
      <w:bookmarkStart w:id="1172" w:name="_Toc102039759"/>
      <w:bookmarkStart w:id="1173" w:name="_Toc102039797"/>
      <w:bookmarkStart w:id="1174" w:name="_Toc102039837"/>
      <w:bookmarkStart w:id="1175" w:name="_Toc102039868"/>
      <w:bookmarkStart w:id="1176" w:name="_Toc102040926"/>
      <w:bookmarkStart w:id="1177" w:name="_Toc102477774"/>
      <w:bookmarkStart w:id="1178" w:name="_Toc102477805"/>
      <w:bookmarkStart w:id="1179" w:name="_Toc109824835"/>
      <w:bookmarkStart w:id="1180" w:name="_Toc109828791"/>
      <w:bookmarkStart w:id="1181" w:name="_Toc109828854"/>
      <w:bookmarkStart w:id="1182" w:name="_Toc109829030"/>
      <w:bookmarkStart w:id="1183" w:name="_Toc109829061"/>
      <w:bookmarkStart w:id="1184" w:name="_Toc109833905"/>
      <w:bookmarkStart w:id="1185" w:name="_Toc110237448"/>
      <w:bookmarkStart w:id="1186" w:name="_Toc117775325"/>
      <w:bookmarkStart w:id="1187" w:name="_Toc117781294"/>
      <w:bookmarkStart w:id="1188" w:name="_Toc125620822"/>
      <w:bookmarkStart w:id="1189" w:name="_Toc125620853"/>
      <w:bookmarkStart w:id="1190" w:name="_Toc125620884"/>
      <w:bookmarkStart w:id="1191" w:name="_Toc125620920"/>
      <w:bookmarkStart w:id="1192" w:name="_Toc125620951"/>
      <w:bookmarkStart w:id="1193" w:name="_Toc125620985"/>
      <w:bookmarkStart w:id="1194" w:name="_Toc125621038"/>
      <w:bookmarkStart w:id="1195" w:name="_Toc125621092"/>
      <w:bookmarkStart w:id="1196" w:name="_Toc125623570"/>
      <w:bookmarkStart w:id="1197" w:name="_Toc125623602"/>
      <w:bookmarkStart w:id="1198" w:name="_Toc125623634"/>
      <w:bookmarkStart w:id="1199" w:name="_Toc125970380"/>
      <w:bookmarkStart w:id="1200" w:name="_Toc125970412"/>
      <w:bookmarkStart w:id="1201" w:name="_Toc127365863"/>
      <w:bookmarkStart w:id="1202" w:name="_Toc127434614"/>
      <w:bookmarkStart w:id="1203" w:name="_Toc127436982"/>
      <w:bookmarkStart w:id="1204" w:name="_Toc127437343"/>
      <w:bookmarkStart w:id="1205" w:name="_Toc127437698"/>
      <w:bookmarkStart w:id="1206" w:name="_Toc135128852"/>
      <w:bookmarkStart w:id="1207" w:name="_Toc135128885"/>
      <w:bookmarkStart w:id="1208" w:name="_Toc135133725"/>
      <w:bookmarkStart w:id="1209" w:name="_Toc135143062"/>
      <w:bookmarkStart w:id="1210" w:name="_Toc135819380"/>
      <w:bookmarkStart w:id="1211" w:name="_Toc136329497"/>
      <w:bookmarkStart w:id="1212" w:name="_Toc136329618"/>
      <w:bookmarkStart w:id="1213" w:name="_Toc136611295"/>
      <w:bookmarkStart w:id="1214" w:name="_Toc136611340"/>
      <w:bookmarkStart w:id="1215" w:name="_Toc136611457"/>
      <w:bookmarkStart w:id="1216" w:name="_Toc136611504"/>
      <w:bookmarkStart w:id="1217" w:name="_Toc136611592"/>
      <w:bookmarkStart w:id="1218" w:name="_Toc139876584"/>
      <w:bookmarkStart w:id="1219" w:name="_Toc139876611"/>
      <w:bookmarkStart w:id="1220" w:name="_Toc139876861"/>
      <w:bookmarkStart w:id="1221" w:name="_Toc139876889"/>
      <w:bookmarkStart w:id="1222" w:name="_Toc139876925"/>
      <w:bookmarkStart w:id="1223" w:name="_Toc142898581"/>
      <w:bookmarkStart w:id="1224" w:name="_Toc143164418"/>
      <w:bookmarkStart w:id="1225" w:name="_Toc143164511"/>
      <w:bookmarkStart w:id="1226" w:name="_Toc143164539"/>
      <w:bookmarkStart w:id="1227" w:name="_Toc143167430"/>
      <w:bookmarkStart w:id="1228" w:name="_Toc143170069"/>
      <w:bookmarkStart w:id="1229" w:name="_Toc153871601"/>
      <w:bookmarkStart w:id="1230" w:name="_Toc153871637"/>
      <w:bookmarkStart w:id="1231" w:name="_Toc153871880"/>
      <w:bookmarkStart w:id="1232" w:name="_Toc153871945"/>
      <w:bookmarkStart w:id="1233" w:name="_Toc153891197"/>
      <w:bookmarkStart w:id="1234" w:name="_Toc153891304"/>
      <w:bookmarkStart w:id="1235" w:name="_Toc153981076"/>
      <w:bookmarkStart w:id="1236" w:name="_Toc153981143"/>
      <w:bookmarkStart w:id="1237" w:name="_Toc153981173"/>
      <w:bookmarkStart w:id="1238" w:name="_Toc153981202"/>
      <w:bookmarkStart w:id="1239" w:name="_Toc153981293"/>
      <w:bookmarkStart w:id="1240" w:name="_Toc153981322"/>
      <w:bookmarkStart w:id="1241" w:name="_Toc153981377"/>
      <w:bookmarkStart w:id="1242" w:name="_Toc153981406"/>
      <w:bookmarkStart w:id="1243" w:name="_Toc153982132"/>
      <w:bookmarkStart w:id="1244" w:name="_Toc154041132"/>
      <w:bookmarkStart w:id="1245" w:name="_Toc154049293"/>
      <w:bookmarkStart w:id="1246" w:name="_Toc154158280"/>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5DA454F1" w14:textId="77777777" w:rsidR="000F19C1" w:rsidRPr="002E5EB4" w:rsidRDefault="000F19C1" w:rsidP="000F19C1">
      <w:pPr>
        <w:pStyle w:val="Prrafodelista"/>
        <w:keepNext/>
        <w:keepLines/>
        <w:numPr>
          <w:ilvl w:val="0"/>
          <w:numId w:val="43"/>
        </w:numPr>
        <w:tabs>
          <w:tab w:val="left" w:pos="426"/>
        </w:tabs>
        <w:contextualSpacing w:val="0"/>
        <w:outlineLvl w:val="1"/>
        <w:rPr>
          <w:rFonts w:eastAsiaTheme="majorEastAsia" w:cs="Times New Roman"/>
          <w:b/>
          <w:bCs/>
          <w:caps/>
          <w:vanish/>
          <w:sz w:val="24"/>
          <w:szCs w:val="26"/>
          <w:lang w:eastAsia="es-ES"/>
        </w:rPr>
      </w:pPr>
      <w:bookmarkStart w:id="1247" w:name="_Toc55374013"/>
      <w:bookmarkStart w:id="1248" w:name="_Toc55375150"/>
      <w:bookmarkStart w:id="1249" w:name="_Toc55396558"/>
      <w:bookmarkStart w:id="1250" w:name="_Toc65230555"/>
      <w:bookmarkStart w:id="1251" w:name="_Toc65230793"/>
      <w:bookmarkStart w:id="1252" w:name="_Toc65232077"/>
      <w:bookmarkStart w:id="1253" w:name="_Toc65232322"/>
      <w:bookmarkStart w:id="1254" w:name="_Toc66716181"/>
      <w:bookmarkStart w:id="1255" w:name="_Toc71097225"/>
      <w:bookmarkStart w:id="1256" w:name="_Toc71097256"/>
      <w:bookmarkStart w:id="1257" w:name="_Toc71097331"/>
      <w:bookmarkStart w:id="1258" w:name="_Toc71108071"/>
      <w:bookmarkStart w:id="1259" w:name="_Toc79055265"/>
      <w:bookmarkStart w:id="1260" w:name="_Toc79055296"/>
      <w:bookmarkStart w:id="1261" w:name="_Toc79060187"/>
      <w:bookmarkStart w:id="1262" w:name="_Toc79060474"/>
      <w:bookmarkStart w:id="1263" w:name="_Toc81307831"/>
      <w:bookmarkStart w:id="1264" w:name="_Toc83376492"/>
      <w:bookmarkStart w:id="1265" w:name="_Toc86386731"/>
      <w:bookmarkStart w:id="1266" w:name="_Toc86405417"/>
      <w:bookmarkStart w:id="1267" w:name="_Toc98162447"/>
      <w:bookmarkStart w:id="1268" w:name="_Toc98162479"/>
      <w:bookmarkStart w:id="1269" w:name="_Toc98235005"/>
      <w:bookmarkStart w:id="1270" w:name="_Toc98235200"/>
      <w:bookmarkStart w:id="1271" w:name="_Toc98235285"/>
      <w:bookmarkStart w:id="1272" w:name="_Toc98757155"/>
      <w:bookmarkStart w:id="1273" w:name="_Toc101874710"/>
      <w:bookmarkStart w:id="1274" w:name="_Toc101954166"/>
      <w:bookmarkStart w:id="1275" w:name="_Toc101971983"/>
      <w:bookmarkStart w:id="1276" w:name="_Toc101974075"/>
      <w:bookmarkStart w:id="1277" w:name="_Toc102039760"/>
      <w:bookmarkStart w:id="1278" w:name="_Toc102039798"/>
      <w:bookmarkStart w:id="1279" w:name="_Toc102039838"/>
      <w:bookmarkStart w:id="1280" w:name="_Toc102039869"/>
      <w:bookmarkStart w:id="1281" w:name="_Toc102040927"/>
      <w:bookmarkStart w:id="1282" w:name="_Toc102477775"/>
      <w:bookmarkStart w:id="1283" w:name="_Toc102477806"/>
      <w:bookmarkStart w:id="1284" w:name="_Toc109824836"/>
      <w:bookmarkStart w:id="1285" w:name="_Toc109828792"/>
      <w:bookmarkStart w:id="1286" w:name="_Toc109828855"/>
      <w:bookmarkStart w:id="1287" w:name="_Toc109829031"/>
      <w:bookmarkStart w:id="1288" w:name="_Toc109829062"/>
      <w:bookmarkStart w:id="1289" w:name="_Toc109833906"/>
      <w:bookmarkStart w:id="1290" w:name="_Toc110237449"/>
      <w:bookmarkStart w:id="1291" w:name="_Toc117775326"/>
      <w:bookmarkStart w:id="1292" w:name="_Toc117781295"/>
      <w:bookmarkStart w:id="1293" w:name="_Toc125620823"/>
      <w:bookmarkStart w:id="1294" w:name="_Toc125620854"/>
      <w:bookmarkStart w:id="1295" w:name="_Toc125620885"/>
      <w:bookmarkStart w:id="1296" w:name="_Toc125620921"/>
      <w:bookmarkStart w:id="1297" w:name="_Toc125620952"/>
      <w:bookmarkStart w:id="1298" w:name="_Toc125620986"/>
      <w:bookmarkStart w:id="1299" w:name="_Toc125621039"/>
      <w:bookmarkStart w:id="1300" w:name="_Toc125621093"/>
      <w:bookmarkStart w:id="1301" w:name="_Toc125623571"/>
      <w:bookmarkStart w:id="1302" w:name="_Toc125623603"/>
      <w:bookmarkStart w:id="1303" w:name="_Toc125623635"/>
      <w:bookmarkStart w:id="1304" w:name="_Toc125970381"/>
      <w:bookmarkStart w:id="1305" w:name="_Toc125970413"/>
      <w:bookmarkStart w:id="1306" w:name="_Toc127365864"/>
      <w:bookmarkStart w:id="1307" w:name="_Toc127434615"/>
      <w:bookmarkStart w:id="1308" w:name="_Toc127436983"/>
      <w:bookmarkStart w:id="1309" w:name="_Toc127437344"/>
      <w:bookmarkStart w:id="1310" w:name="_Toc127437699"/>
      <w:bookmarkStart w:id="1311" w:name="_Toc135128853"/>
      <w:bookmarkStart w:id="1312" w:name="_Toc135128886"/>
      <w:bookmarkStart w:id="1313" w:name="_Toc135133726"/>
      <w:bookmarkStart w:id="1314" w:name="_Toc135143063"/>
      <w:bookmarkStart w:id="1315" w:name="_Toc135819381"/>
      <w:bookmarkStart w:id="1316" w:name="_Toc136329498"/>
      <w:bookmarkStart w:id="1317" w:name="_Toc136329619"/>
      <w:bookmarkStart w:id="1318" w:name="_Toc136611296"/>
      <w:bookmarkStart w:id="1319" w:name="_Toc136611341"/>
      <w:bookmarkStart w:id="1320" w:name="_Toc136611458"/>
      <w:bookmarkStart w:id="1321" w:name="_Toc136611505"/>
      <w:bookmarkStart w:id="1322" w:name="_Toc136611593"/>
      <w:bookmarkStart w:id="1323" w:name="_Toc139876585"/>
      <w:bookmarkStart w:id="1324" w:name="_Toc139876612"/>
      <w:bookmarkStart w:id="1325" w:name="_Toc139876862"/>
      <w:bookmarkStart w:id="1326" w:name="_Toc139876890"/>
      <w:bookmarkStart w:id="1327" w:name="_Toc139876926"/>
      <w:bookmarkStart w:id="1328" w:name="_Toc142898582"/>
      <w:bookmarkStart w:id="1329" w:name="_Toc143164419"/>
      <w:bookmarkStart w:id="1330" w:name="_Toc143164512"/>
      <w:bookmarkStart w:id="1331" w:name="_Toc143164540"/>
      <w:bookmarkStart w:id="1332" w:name="_Toc143167431"/>
      <w:bookmarkStart w:id="1333" w:name="_Toc143170070"/>
      <w:bookmarkStart w:id="1334" w:name="_Toc153871602"/>
      <w:bookmarkStart w:id="1335" w:name="_Toc153871638"/>
      <w:bookmarkStart w:id="1336" w:name="_Toc153871881"/>
      <w:bookmarkStart w:id="1337" w:name="_Toc153871946"/>
      <w:bookmarkStart w:id="1338" w:name="_Toc153891198"/>
      <w:bookmarkStart w:id="1339" w:name="_Toc153891305"/>
      <w:bookmarkStart w:id="1340" w:name="_Toc153981077"/>
      <w:bookmarkStart w:id="1341" w:name="_Toc153981144"/>
      <w:bookmarkStart w:id="1342" w:name="_Toc153981174"/>
      <w:bookmarkStart w:id="1343" w:name="_Toc153981203"/>
      <w:bookmarkStart w:id="1344" w:name="_Toc153981294"/>
      <w:bookmarkStart w:id="1345" w:name="_Toc153981323"/>
      <w:bookmarkStart w:id="1346" w:name="_Toc153981378"/>
      <w:bookmarkStart w:id="1347" w:name="_Toc153981407"/>
      <w:bookmarkStart w:id="1348" w:name="_Toc153982133"/>
      <w:bookmarkStart w:id="1349" w:name="_Toc154041133"/>
      <w:bookmarkStart w:id="1350" w:name="_Toc154049294"/>
      <w:bookmarkStart w:id="1351" w:name="_Toc154158281"/>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4545F53E" w14:textId="2961A666" w:rsidR="00490038" w:rsidRPr="002E5EB4" w:rsidRDefault="00C23BDB" w:rsidP="00C56688">
      <w:pPr>
        <w:pStyle w:val="Ttulo2"/>
        <w:numPr>
          <w:ilvl w:val="1"/>
          <w:numId w:val="12"/>
        </w:numPr>
        <w:tabs>
          <w:tab w:val="left" w:pos="426"/>
        </w:tabs>
        <w:spacing w:before="0"/>
        <w:rPr>
          <w:rFonts w:cs="Times New Roman"/>
          <w:sz w:val="22"/>
          <w:szCs w:val="22"/>
        </w:rPr>
      </w:pPr>
      <w:bookmarkStart w:id="1352" w:name="_Toc55374014"/>
      <w:bookmarkStart w:id="1353" w:name="_Toc55375151"/>
      <w:bookmarkStart w:id="1354" w:name="_Toc55396559"/>
      <w:bookmarkStart w:id="1355" w:name="_Toc65230556"/>
      <w:bookmarkStart w:id="1356" w:name="_Toc65230794"/>
      <w:bookmarkStart w:id="1357" w:name="_Toc65232078"/>
      <w:bookmarkStart w:id="1358" w:name="_Toc65232323"/>
      <w:bookmarkStart w:id="1359" w:name="_Toc66716182"/>
      <w:bookmarkStart w:id="1360" w:name="_Toc71097226"/>
      <w:bookmarkStart w:id="1361" w:name="_Toc71097257"/>
      <w:bookmarkStart w:id="1362" w:name="_Toc71097332"/>
      <w:bookmarkStart w:id="1363" w:name="_Toc71108072"/>
      <w:bookmarkStart w:id="1364" w:name="_Toc79055266"/>
      <w:bookmarkStart w:id="1365" w:name="_Toc79055297"/>
      <w:bookmarkStart w:id="1366" w:name="_Toc79060188"/>
      <w:bookmarkStart w:id="1367" w:name="_Toc79060475"/>
      <w:bookmarkStart w:id="1368" w:name="_Toc81307832"/>
      <w:bookmarkStart w:id="1369" w:name="_Toc83376493"/>
      <w:bookmarkStart w:id="1370" w:name="_Toc86386732"/>
      <w:bookmarkStart w:id="1371" w:name="_Toc86405418"/>
      <w:bookmarkStart w:id="1372" w:name="_Toc98162448"/>
      <w:bookmarkStart w:id="1373" w:name="_Toc98162480"/>
      <w:bookmarkStart w:id="1374" w:name="_Toc98235006"/>
      <w:bookmarkStart w:id="1375" w:name="_Toc98235201"/>
      <w:bookmarkStart w:id="1376" w:name="_Toc98235286"/>
      <w:bookmarkStart w:id="1377" w:name="_Toc98757156"/>
      <w:bookmarkStart w:id="1378" w:name="_Toc101874711"/>
      <w:bookmarkStart w:id="1379" w:name="_Toc101954167"/>
      <w:bookmarkStart w:id="1380" w:name="_Toc101971984"/>
      <w:bookmarkStart w:id="1381" w:name="_Toc101974076"/>
      <w:bookmarkStart w:id="1382" w:name="_Toc102039761"/>
      <w:bookmarkStart w:id="1383" w:name="_Toc102039799"/>
      <w:bookmarkStart w:id="1384" w:name="_Toc102039839"/>
      <w:bookmarkStart w:id="1385" w:name="_Toc102039870"/>
      <w:bookmarkStart w:id="1386" w:name="_Toc102040928"/>
      <w:bookmarkStart w:id="1387" w:name="_Toc102477776"/>
      <w:bookmarkStart w:id="1388" w:name="_Toc102477807"/>
      <w:bookmarkStart w:id="1389" w:name="_Toc109824837"/>
      <w:bookmarkStart w:id="1390" w:name="_Toc109828793"/>
      <w:bookmarkStart w:id="1391" w:name="_Toc109828856"/>
      <w:bookmarkStart w:id="1392" w:name="_Toc109829032"/>
      <w:bookmarkStart w:id="1393" w:name="_Toc109829063"/>
      <w:bookmarkStart w:id="1394" w:name="_Toc109833907"/>
      <w:bookmarkStart w:id="1395" w:name="_Toc110237450"/>
      <w:bookmarkStart w:id="1396" w:name="_Toc117775327"/>
      <w:bookmarkStart w:id="1397" w:name="_Toc117781296"/>
      <w:bookmarkStart w:id="1398" w:name="_Toc125620824"/>
      <w:bookmarkStart w:id="1399" w:name="_Toc125620855"/>
      <w:bookmarkStart w:id="1400" w:name="_Toc125620886"/>
      <w:bookmarkStart w:id="1401" w:name="_Toc125620922"/>
      <w:bookmarkStart w:id="1402" w:name="_Toc125620953"/>
      <w:bookmarkStart w:id="1403" w:name="_Toc125620987"/>
      <w:bookmarkStart w:id="1404" w:name="_Toc125621040"/>
      <w:bookmarkStart w:id="1405" w:name="_Toc125621094"/>
      <w:bookmarkStart w:id="1406" w:name="_Toc125623572"/>
      <w:bookmarkStart w:id="1407" w:name="_Toc125623604"/>
      <w:bookmarkStart w:id="1408" w:name="_Toc125623636"/>
      <w:bookmarkStart w:id="1409" w:name="_Toc125970382"/>
      <w:bookmarkStart w:id="1410" w:name="_Toc125970414"/>
      <w:bookmarkStart w:id="1411" w:name="_Toc127365865"/>
      <w:bookmarkStart w:id="1412" w:name="_Toc127434616"/>
      <w:bookmarkStart w:id="1413" w:name="_Toc127436984"/>
      <w:bookmarkStart w:id="1414" w:name="_Toc127437345"/>
      <w:bookmarkStart w:id="1415" w:name="_Toc127437700"/>
      <w:bookmarkStart w:id="1416" w:name="_Toc154158282"/>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sidRPr="002E5EB4">
        <w:rPr>
          <w:rFonts w:cs="Times New Roman"/>
          <w:sz w:val="22"/>
          <w:szCs w:val="22"/>
        </w:rPr>
        <w:t>Las erogaci</w:t>
      </w:r>
      <w:r w:rsidR="008D4047" w:rsidRPr="002E5EB4">
        <w:rPr>
          <w:rFonts w:cs="Times New Roman"/>
          <w:sz w:val="22"/>
          <w:szCs w:val="22"/>
        </w:rPr>
        <w:t>o</w:t>
      </w:r>
      <w:r w:rsidR="005862C0" w:rsidRPr="002E5EB4">
        <w:rPr>
          <w:rFonts w:cs="Times New Roman"/>
          <w:sz w:val="22"/>
          <w:szCs w:val="22"/>
        </w:rPr>
        <w:t>n</w:t>
      </w:r>
      <w:r w:rsidR="008D4047" w:rsidRPr="002E5EB4">
        <w:rPr>
          <w:rFonts w:cs="Times New Roman"/>
          <w:sz w:val="22"/>
          <w:szCs w:val="22"/>
        </w:rPr>
        <w:t>es</w:t>
      </w:r>
      <w:r w:rsidR="005862C0" w:rsidRPr="002E5EB4">
        <w:rPr>
          <w:rFonts w:cs="Times New Roman"/>
          <w:sz w:val="22"/>
          <w:szCs w:val="22"/>
        </w:rPr>
        <w:t xml:space="preserve"> </w:t>
      </w:r>
      <w:r w:rsidR="00AD1678">
        <w:rPr>
          <w:rFonts w:cs="Times New Roman"/>
          <w:sz w:val="22"/>
          <w:szCs w:val="22"/>
        </w:rPr>
        <w:t xml:space="preserve">con mayor crecimiento </w:t>
      </w:r>
      <w:r w:rsidR="000B607E" w:rsidRPr="002E5EB4">
        <w:rPr>
          <w:rFonts w:cs="Times New Roman"/>
          <w:sz w:val="22"/>
          <w:szCs w:val="22"/>
        </w:rPr>
        <w:t xml:space="preserve">son </w:t>
      </w:r>
      <w:r w:rsidR="00AD1678">
        <w:rPr>
          <w:rFonts w:cs="Times New Roman"/>
          <w:sz w:val="22"/>
          <w:szCs w:val="22"/>
        </w:rPr>
        <w:t xml:space="preserve">las dirigidas a los </w:t>
      </w:r>
      <w:r w:rsidR="000B607E" w:rsidRPr="002E5EB4">
        <w:rPr>
          <w:rFonts w:cs="Times New Roman"/>
          <w:sz w:val="22"/>
          <w:szCs w:val="22"/>
        </w:rPr>
        <w:t>servicios</w:t>
      </w:r>
      <w:r w:rsidR="00855241">
        <w:rPr>
          <w:rFonts w:cs="Times New Roman"/>
          <w:sz w:val="22"/>
          <w:szCs w:val="22"/>
        </w:rPr>
        <w:t xml:space="preserve"> públicos</w:t>
      </w:r>
      <w:r w:rsidR="000B607E" w:rsidRPr="002E5EB4">
        <w:rPr>
          <w:rFonts w:cs="Times New Roman"/>
          <w:caps w:val="0"/>
          <w:sz w:val="22"/>
          <w:szCs w:val="22"/>
        </w:rPr>
        <w:t xml:space="preserve"> </w:t>
      </w:r>
      <w:r w:rsidR="008D4047" w:rsidRPr="002E5EB4">
        <w:rPr>
          <w:rFonts w:cs="Times New Roman"/>
          <w:sz w:val="22"/>
          <w:szCs w:val="22"/>
        </w:rPr>
        <w:t>generales</w:t>
      </w:r>
      <w:bookmarkEnd w:id="1416"/>
    </w:p>
    <w:p w14:paraId="5A3E4798" w14:textId="68768DEC" w:rsidR="00504AD8" w:rsidRPr="002E5EB4" w:rsidRDefault="00101051" w:rsidP="007601B1">
      <w:pPr>
        <w:rPr>
          <w:rFonts w:cs="Times New Roman"/>
        </w:rPr>
      </w:pPr>
      <w:r w:rsidRPr="002E5EB4">
        <w:rPr>
          <w:rFonts w:eastAsiaTheme="majorEastAsia"/>
          <w:noProof/>
          <w:lang w:eastAsia="es-GT"/>
        </w:rPr>
        <w:drawing>
          <wp:anchor distT="0" distB="0" distL="114300" distR="114300" simplePos="0" relativeHeight="251658245" behindDoc="0" locked="0" layoutInCell="1" allowOverlap="1" wp14:anchorId="256174D2" wp14:editId="2483BECB">
            <wp:simplePos x="0" y="0"/>
            <wp:positionH relativeFrom="margin">
              <wp:posOffset>2896870</wp:posOffset>
            </wp:positionH>
            <wp:positionV relativeFrom="paragraph">
              <wp:posOffset>85090</wp:posOffset>
            </wp:positionV>
            <wp:extent cx="3094990" cy="1464945"/>
            <wp:effectExtent l="57150" t="38100" r="105410" b="97155"/>
            <wp:wrapSquare wrapText="bothSides"/>
            <wp:docPr id="1937780073" name="Diagrama 19377800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r w:rsidR="005924B3" w:rsidRPr="002E5EB4">
        <w:rPr>
          <w:rFonts w:cs="Times New Roman"/>
        </w:rPr>
        <w:t>L</w:t>
      </w:r>
      <w:r w:rsidR="00573015" w:rsidRPr="002E5EB4">
        <w:rPr>
          <w:rFonts w:cs="Times New Roman"/>
        </w:rPr>
        <w:t>as erogaciones del</w:t>
      </w:r>
      <w:r w:rsidR="006F3389" w:rsidRPr="002E5EB4">
        <w:rPr>
          <w:rFonts w:cs="Times New Roman"/>
        </w:rPr>
        <w:t xml:space="preserve"> </w:t>
      </w:r>
      <w:r w:rsidR="00573015" w:rsidRPr="002E5EB4">
        <w:rPr>
          <w:rFonts w:cs="Times New Roman"/>
        </w:rPr>
        <w:t>g</w:t>
      </w:r>
      <w:r w:rsidR="006F3389" w:rsidRPr="002E5EB4">
        <w:rPr>
          <w:rFonts w:cs="Times New Roman"/>
        </w:rPr>
        <w:t xml:space="preserve">obierno </w:t>
      </w:r>
      <w:r w:rsidR="00573015" w:rsidRPr="002E5EB4">
        <w:rPr>
          <w:rFonts w:cs="Times New Roman"/>
        </w:rPr>
        <w:t>gener</w:t>
      </w:r>
      <w:r w:rsidR="006F3389" w:rsidRPr="002E5EB4">
        <w:rPr>
          <w:rFonts w:cs="Times New Roman"/>
        </w:rPr>
        <w:t>al</w:t>
      </w:r>
      <w:r w:rsidR="00E403A8" w:rsidRPr="002E5EB4">
        <w:rPr>
          <w:rFonts w:cs="Times New Roman"/>
        </w:rPr>
        <w:t xml:space="preserve"> </w:t>
      </w:r>
      <w:r w:rsidR="00CE0ED6" w:rsidRPr="002E5EB4">
        <w:rPr>
          <w:rFonts w:cs="Times New Roman"/>
        </w:rPr>
        <w:t xml:space="preserve">ascienden a </w:t>
      </w:r>
      <w:r w:rsidR="006F3389" w:rsidRPr="002E5EB4">
        <w:rPr>
          <w:rFonts w:cs="Times New Roman"/>
        </w:rPr>
        <w:t>Q</w:t>
      </w:r>
      <w:r w:rsidR="00CE0ED6" w:rsidRPr="002E5EB4">
        <w:rPr>
          <w:rFonts w:cs="Times New Roman"/>
        </w:rPr>
        <w:t>100,75</w:t>
      </w:r>
      <w:r w:rsidR="00516D9B" w:rsidRPr="002E5EB4">
        <w:rPr>
          <w:rFonts w:cs="Times New Roman"/>
        </w:rPr>
        <w:t>5</w:t>
      </w:r>
      <w:r w:rsidR="00E403A8" w:rsidRPr="002E5EB4">
        <w:rPr>
          <w:rFonts w:cs="Times New Roman"/>
        </w:rPr>
        <w:t>.</w:t>
      </w:r>
      <w:r w:rsidR="00516D9B" w:rsidRPr="002E5EB4">
        <w:rPr>
          <w:rFonts w:cs="Times New Roman"/>
        </w:rPr>
        <w:t>0</w:t>
      </w:r>
      <w:r w:rsidR="005460C0" w:rsidRPr="002E5EB4">
        <w:rPr>
          <w:rFonts w:cs="Times New Roman"/>
        </w:rPr>
        <w:t xml:space="preserve"> </w:t>
      </w:r>
      <w:r w:rsidR="006F3389" w:rsidRPr="002E5EB4">
        <w:rPr>
          <w:rFonts w:cs="Times New Roman"/>
        </w:rPr>
        <w:t>millones</w:t>
      </w:r>
      <w:r w:rsidR="00E403A8" w:rsidRPr="002E5EB4">
        <w:rPr>
          <w:rFonts w:cs="Times New Roman"/>
        </w:rPr>
        <w:t xml:space="preserve">, </w:t>
      </w:r>
      <w:r w:rsidR="00CE0ED6" w:rsidRPr="002E5EB4">
        <w:rPr>
          <w:rFonts w:cs="Times New Roman"/>
        </w:rPr>
        <w:t>con</w:t>
      </w:r>
      <w:r w:rsidR="008F4043">
        <w:rPr>
          <w:rFonts w:cs="Times New Roman"/>
        </w:rPr>
        <w:t xml:space="preserve"> un</w:t>
      </w:r>
      <w:r w:rsidR="00CE0ED6" w:rsidRPr="002E5EB4">
        <w:rPr>
          <w:rFonts w:cs="Times New Roman"/>
        </w:rPr>
        <w:t xml:space="preserve"> crecimiento </w:t>
      </w:r>
      <w:r w:rsidR="002838A9" w:rsidRPr="002E5EB4">
        <w:rPr>
          <w:rFonts w:cs="Times New Roman"/>
        </w:rPr>
        <w:t>interanual</w:t>
      </w:r>
      <w:r w:rsidR="006F3389" w:rsidRPr="002E5EB4">
        <w:rPr>
          <w:rFonts w:cs="Times New Roman"/>
        </w:rPr>
        <w:t xml:space="preserve"> </w:t>
      </w:r>
      <w:r w:rsidR="00CE0ED6" w:rsidRPr="002E5EB4">
        <w:rPr>
          <w:rFonts w:cs="Times New Roman"/>
        </w:rPr>
        <w:t>de</w:t>
      </w:r>
      <w:r w:rsidR="008F4043">
        <w:rPr>
          <w:rFonts w:cs="Times New Roman"/>
        </w:rPr>
        <w:t>l</w:t>
      </w:r>
      <w:r w:rsidR="00CE0ED6" w:rsidRPr="002E5EB4">
        <w:rPr>
          <w:rFonts w:cs="Times New Roman"/>
        </w:rPr>
        <w:t xml:space="preserve"> 15.5</w:t>
      </w:r>
      <w:r w:rsidR="006F3389" w:rsidRPr="002E5EB4">
        <w:rPr>
          <w:rFonts w:cs="Times New Roman"/>
        </w:rPr>
        <w:t>% (Q</w:t>
      </w:r>
      <w:r w:rsidR="00CE0ED6" w:rsidRPr="002E5EB4">
        <w:rPr>
          <w:rFonts w:cs="Times New Roman"/>
        </w:rPr>
        <w:t>13,4</w:t>
      </w:r>
      <w:r w:rsidR="00A94424">
        <w:rPr>
          <w:rFonts w:cs="Times New Roman"/>
        </w:rPr>
        <w:t>95</w:t>
      </w:r>
      <w:r w:rsidR="00CE0ED6" w:rsidRPr="002E5EB4">
        <w:rPr>
          <w:rFonts w:cs="Times New Roman"/>
        </w:rPr>
        <w:t>.5</w:t>
      </w:r>
      <w:r w:rsidR="00E403A8" w:rsidRPr="002E5EB4">
        <w:rPr>
          <w:rFonts w:cs="Times New Roman"/>
        </w:rPr>
        <w:t xml:space="preserve"> </w:t>
      </w:r>
      <w:r w:rsidR="006F3389" w:rsidRPr="002E5EB4">
        <w:rPr>
          <w:rFonts w:cs="Times New Roman"/>
        </w:rPr>
        <w:t>millones)</w:t>
      </w:r>
      <w:r w:rsidR="00DB569A">
        <w:rPr>
          <w:rFonts w:cs="Times New Roman"/>
        </w:rPr>
        <w:t>,</w:t>
      </w:r>
      <w:r w:rsidR="00A07541" w:rsidRPr="002E5EB4">
        <w:rPr>
          <w:rFonts w:cs="Times New Roman"/>
        </w:rPr>
        <w:t xml:space="preserve"> siendo </w:t>
      </w:r>
      <w:r w:rsidR="00DB569A">
        <w:rPr>
          <w:rFonts w:cs="Times New Roman"/>
        </w:rPr>
        <w:t>l</w:t>
      </w:r>
      <w:r w:rsidR="006E4C77" w:rsidRPr="002E5EB4">
        <w:rPr>
          <w:rFonts w:cs="Times New Roman"/>
        </w:rPr>
        <w:t xml:space="preserve">a función de gobierno </w:t>
      </w:r>
      <w:r w:rsidR="00496979" w:rsidRPr="002E5EB4">
        <w:rPr>
          <w:rFonts w:cs="Times New Roman"/>
        </w:rPr>
        <w:t xml:space="preserve">con mayor </w:t>
      </w:r>
      <w:r w:rsidR="00E403A8" w:rsidRPr="002E5EB4">
        <w:rPr>
          <w:rFonts w:cs="Times New Roman"/>
        </w:rPr>
        <w:t xml:space="preserve">crecimiento </w:t>
      </w:r>
      <w:r w:rsidR="00496979" w:rsidRPr="002E5EB4">
        <w:rPr>
          <w:rFonts w:cs="Times New Roman"/>
        </w:rPr>
        <w:t>l</w:t>
      </w:r>
      <w:r w:rsidR="00A07541" w:rsidRPr="002E5EB4">
        <w:rPr>
          <w:rFonts w:cs="Times New Roman"/>
        </w:rPr>
        <w:t>as enfocada</w:t>
      </w:r>
      <w:r w:rsidR="00496979" w:rsidRPr="002E5EB4">
        <w:rPr>
          <w:rFonts w:cs="Times New Roman"/>
        </w:rPr>
        <w:t xml:space="preserve">s </w:t>
      </w:r>
      <w:r w:rsidR="00A07541" w:rsidRPr="002E5EB4">
        <w:rPr>
          <w:rFonts w:cs="Times New Roman"/>
        </w:rPr>
        <w:t xml:space="preserve">a </w:t>
      </w:r>
      <w:r w:rsidR="00242E60" w:rsidRPr="002E5EB4">
        <w:rPr>
          <w:rFonts w:cs="Times New Roman"/>
        </w:rPr>
        <w:t>s</w:t>
      </w:r>
      <w:r w:rsidR="00496979" w:rsidRPr="002E5EB4">
        <w:rPr>
          <w:rFonts w:cs="Times New Roman"/>
        </w:rPr>
        <w:t>ervicios públicos generales,</w:t>
      </w:r>
      <w:r w:rsidR="00E507D8" w:rsidRPr="002E5EB4">
        <w:rPr>
          <w:rFonts w:cs="Times New Roman"/>
        </w:rPr>
        <w:t xml:space="preserve"> </w:t>
      </w:r>
      <w:r w:rsidR="0041541D">
        <w:rPr>
          <w:rFonts w:cs="Times New Roman"/>
        </w:rPr>
        <w:t>las cuales ascienden</w:t>
      </w:r>
      <w:r w:rsidR="00496979" w:rsidRPr="002E5EB4">
        <w:rPr>
          <w:rFonts w:cs="Times New Roman"/>
        </w:rPr>
        <w:t xml:space="preserve"> </w:t>
      </w:r>
      <w:r w:rsidR="0041541D">
        <w:rPr>
          <w:rFonts w:cs="Times New Roman"/>
        </w:rPr>
        <w:t>a</w:t>
      </w:r>
      <w:r w:rsidR="00496979" w:rsidRPr="002E5EB4">
        <w:rPr>
          <w:rFonts w:cs="Times New Roman"/>
        </w:rPr>
        <w:t xml:space="preserve"> </w:t>
      </w:r>
      <w:r w:rsidR="00E507D8" w:rsidRPr="002E5EB4">
        <w:rPr>
          <w:rFonts w:cs="Times New Roman"/>
        </w:rPr>
        <w:t>Q</w:t>
      </w:r>
      <w:r w:rsidR="00496979" w:rsidRPr="002E5EB4">
        <w:rPr>
          <w:rFonts w:cs="Times New Roman"/>
        </w:rPr>
        <w:t>19,684.4</w:t>
      </w:r>
      <w:r w:rsidR="00E507D8" w:rsidRPr="002E5EB4">
        <w:rPr>
          <w:rFonts w:cs="Times New Roman"/>
        </w:rPr>
        <w:t xml:space="preserve"> millones</w:t>
      </w:r>
      <w:r w:rsidR="009754A0">
        <w:rPr>
          <w:rFonts w:cs="Times New Roman"/>
        </w:rPr>
        <w:t xml:space="preserve"> y</w:t>
      </w:r>
      <w:r w:rsidR="00E507D8" w:rsidRPr="002E5EB4">
        <w:rPr>
          <w:rFonts w:cs="Times New Roman"/>
        </w:rPr>
        <w:t xml:space="preserve"> </w:t>
      </w:r>
      <w:r w:rsidR="00704FEF" w:rsidRPr="002E5EB4">
        <w:rPr>
          <w:rFonts w:cs="Times New Roman"/>
        </w:rPr>
        <w:t>mostrando</w:t>
      </w:r>
      <w:r w:rsidR="00496979" w:rsidRPr="002E5EB4">
        <w:rPr>
          <w:rFonts w:cs="Times New Roman"/>
        </w:rPr>
        <w:t xml:space="preserve"> </w:t>
      </w:r>
      <w:r w:rsidR="00704FEF" w:rsidRPr="002E5EB4">
        <w:rPr>
          <w:rFonts w:cs="Times New Roman"/>
        </w:rPr>
        <w:t xml:space="preserve">un </w:t>
      </w:r>
      <w:r w:rsidR="00496979" w:rsidRPr="002E5EB4">
        <w:rPr>
          <w:rFonts w:cs="Times New Roman"/>
        </w:rPr>
        <w:t>crecimiento de</w:t>
      </w:r>
      <w:r w:rsidR="00704FEF" w:rsidRPr="002E5EB4">
        <w:rPr>
          <w:rFonts w:cs="Times New Roman"/>
        </w:rPr>
        <w:t>l</w:t>
      </w:r>
      <w:r w:rsidR="00496979" w:rsidRPr="002E5EB4">
        <w:rPr>
          <w:rFonts w:cs="Times New Roman"/>
        </w:rPr>
        <w:t xml:space="preserve"> 19.3%</w:t>
      </w:r>
      <w:r w:rsidR="00E507D8" w:rsidRPr="002E5EB4">
        <w:rPr>
          <w:rFonts w:cs="Times New Roman"/>
        </w:rPr>
        <w:t xml:space="preserve"> (Q</w:t>
      </w:r>
      <w:r w:rsidR="00496979" w:rsidRPr="002E5EB4">
        <w:rPr>
          <w:rFonts w:cs="Times New Roman"/>
        </w:rPr>
        <w:t>3,180.5</w:t>
      </w:r>
      <w:r w:rsidR="00E507D8" w:rsidRPr="002E5EB4">
        <w:rPr>
          <w:rFonts w:cs="Times New Roman"/>
        </w:rPr>
        <w:t>)</w:t>
      </w:r>
      <w:r w:rsidR="0041541D">
        <w:rPr>
          <w:rFonts w:cs="Times New Roman"/>
        </w:rPr>
        <w:t>. E</w:t>
      </w:r>
      <w:r w:rsidR="00447A4B" w:rsidRPr="002E5EB4">
        <w:rPr>
          <w:rFonts w:cs="Times New Roman"/>
        </w:rPr>
        <w:t>l comportamiento de esta</w:t>
      </w:r>
      <w:r w:rsidR="00666263" w:rsidRPr="002E5EB4">
        <w:rPr>
          <w:rFonts w:cs="Times New Roman"/>
        </w:rPr>
        <w:t xml:space="preserve"> función se atribuye principalmente a la subcategoría de servicios públicos generales</w:t>
      </w:r>
      <w:r w:rsidR="00E75445" w:rsidRPr="002E5EB4">
        <w:rPr>
          <w:rFonts w:cs="Times New Roman"/>
        </w:rPr>
        <w:t xml:space="preserve"> </w:t>
      </w:r>
      <w:proofErr w:type="spellStart"/>
      <w:r w:rsidR="008D4E86" w:rsidRPr="002E5EB4">
        <w:rPr>
          <w:rFonts w:cs="Times New Roman"/>
        </w:rPr>
        <w:t>n</w:t>
      </w:r>
      <w:r w:rsidR="005E7399" w:rsidRPr="002E5EB4">
        <w:rPr>
          <w:rFonts w:cs="Times New Roman"/>
        </w:rPr>
        <w:t>.</w:t>
      </w:r>
      <w:r w:rsidR="008D4E86" w:rsidRPr="002E5EB4">
        <w:rPr>
          <w:rFonts w:cs="Times New Roman"/>
        </w:rPr>
        <w:t>e</w:t>
      </w:r>
      <w:r w:rsidR="005E7399" w:rsidRPr="002E5EB4">
        <w:rPr>
          <w:rFonts w:cs="Times New Roman"/>
        </w:rPr>
        <w:t>.</w:t>
      </w:r>
      <w:r w:rsidR="008D4E86" w:rsidRPr="002E5EB4">
        <w:rPr>
          <w:rFonts w:cs="Times New Roman"/>
        </w:rPr>
        <w:t>p</w:t>
      </w:r>
      <w:proofErr w:type="spellEnd"/>
      <w:r w:rsidR="005E7399" w:rsidRPr="002E5EB4">
        <w:rPr>
          <w:rFonts w:cs="Times New Roman"/>
        </w:rPr>
        <w:t>,</w:t>
      </w:r>
      <w:r w:rsidR="006E29C5" w:rsidRPr="002E5EB4">
        <w:rPr>
          <w:rFonts w:cs="Times New Roman"/>
        </w:rPr>
        <w:t xml:space="preserve"> (</w:t>
      </w:r>
      <w:r w:rsidR="005E7399" w:rsidRPr="002E5EB4">
        <w:rPr>
          <w:rFonts w:cs="Times New Roman"/>
        </w:rPr>
        <w:t>no clasificados en otra partida)</w:t>
      </w:r>
      <w:r w:rsidR="00984973" w:rsidRPr="002E5EB4">
        <w:rPr>
          <w:rFonts w:cs="Times New Roman"/>
        </w:rPr>
        <w:t xml:space="preserve"> la cual </w:t>
      </w:r>
      <w:r w:rsidR="00666263" w:rsidRPr="002E5EB4">
        <w:rPr>
          <w:rFonts w:cs="Times New Roman"/>
        </w:rPr>
        <w:t xml:space="preserve">aumentó en 106.0% (Q926.6 millones) </w:t>
      </w:r>
      <w:r w:rsidR="002C1ED9" w:rsidRPr="002E5EB4">
        <w:rPr>
          <w:rFonts w:cs="Times New Roman"/>
        </w:rPr>
        <w:t xml:space="preserve">y </w:t>
      </w:r>
      <w:r w:rsidR="00A94953" w:rsidRPr="002E5EB4">
        <w:rPr>
          <w:rFonts w:cs="Times New Roman"/>
        </w:rPr>
        <w:t xml:space="preserve">es influenciado </w:t>
      </w:r>
      <w:r w:rsidR="00B81325" w:rsidRPr="002E5EB4">
        <w:rPr>
          <w:rFonts w:cs="Times New Roman"/>
        </w:rPr>
        <w:t xml:space="preserve">fuertemente por </w:t>
      </w:r>
      <w:r w:rsidR="00666263" w:rsidRPr="002E5EB4">
        <w:rPr>
          <w:rFonts w:cs="Times New Roman"/>
        </w:rPr>
        <w:t xml:space="preserve">las erogaciones </w:t>
      </w:r>
      <w:r w:rsidR="00B81325" w:rsidRPr="002E5EB4">
        <w:rPr>
          <w:rFonts w:cs="Times New Roman"/>
        </w:rPr>
        <w:t xml:space="preserve">que realizó el </w:t>
      </w:r>
      <w:r w:rsidR="00666263" w:rsidRPr="002E5EB4">
        <w:rPr>
          <w:rFonts w:cs="Times New Roman"/>
        </w:rPr>
        <w:t>Tribunal Supremo Electoral</w:t>
      </w:r>
      <w:r w:rsidR="00780DDA" w:rsidRPr="002E5EB4">
        <w:rPr>
          <w:rFonts w:cs="Times New Roman"/>
        </w:rPr>
        <w:t xml:space="preserve">. </w:t>
      </w:r>
      <w:r w:rsidR="00666263" w:rsidRPr="002E5EB4">
        <w:rPr>
          <w:rFonts w:cs="Times New Roman"/>
        </w:rPr>
        <w:t xml:space="preserve">El 59.4% de la ejecución en </w:t>
      </w:r>
      <w:r w:rsidR="007819DF" w:rsidRPr="002E5EB4">
        <w:rPr>
          <w:rFonts w:cs="Times New Roman"/>
        </w:rPr>
        <w:t>la</w:t>
      </w:r>
      <w:r w:rsidR="00666263" w:rsidRPr="002E5EB4">
        <w:rPr>
          <w:rFonts w:cs="Times New Roman"/>
        </w:rPr>
        <w:t xml:space="preserve"> función</w:t>
      </w:r>
      <w:r w:rsidR="007819DF" w:rsidRPr="002E5EB4">
        <w:rPr>
          <w:rFonts w:cs="Times New Roman"/>
        </w:rPr>
        <w:t xml:space="preserve"> de servicios generales</w:t>
      </w:r>
      <w:r w:rsidR="00666263" w:rsidRPr="002E5EB4">
        <w:rPr>
          <w:rFonts w:cs="Times New Roman"/>
        </w:rPr>
        <w:t xml:space="preserve"> </w:t>
      </w:r>
      <w:r w:rsidR="006964D5" w:rsidRPr="002E5EB4">
        <w:rPr>
          <w:rFonts w:cs="Times New Roman"/>
        </w:rPr>
        <w:t>ha sido realizada por</w:t>
      </w:r>
      <w:r w:rsidR="00A515C9" w:rsidRPr="002E5EB4">
        <w:rPr>
          <w:rFonts w:cs="Times New Roman"/>
        </w:rPr>
        <w:t xml:space="preserve"> </w:t>
      </w:r>
      <w:r w:rsidR="00666263" w:rsidRPr="002E5EB4">
        <w:rPr>
          <w:rFonts w:cs="Times New Roman"/>
        </w:rPr>
        <w:t>gobierno central presupuestario, el 21.7% por el gobierno central extrapresupuestario, el 18.3% por los gobiernos locales y el restante 0.6% por los fondos de seguridad social.</w:t>
      </w:r>
    </w:p>
    <w:p w14:paraId="34BB46A6" w14:textId="3DF5B5C6" w:rsidR="00A535C3" w:rsidRPr="002E5EB4" w:rsidRDefault="00242E60" w:rsidP="00A535C3">
      <w:pPr>
        <w:rPr>
          <w:rFonts w:cs="Times New Roman"/>
        </w:rPr>
      </w:pPr>
      <w:r w:rsidRPr="002E5EB4">
        <w:rPr>
          <w:rFonts w:cs="Times New Roman"/>
        </w:rPr>
        <w:t xml:space="preserve">La segunda </w:t>
      </w:r>
      <w:r w:rsidR="007601B1" w:rsidRPr="002E5EB4">
        <w:rPr>
          <w:rFonts w:cs="Times New Roman"/>
        </w:rPr>
        <w:t xml:space="preserve">función con mayor crecimiento </w:t>
      </w:r>
      <w:r w:rsidR="00287BDF" w:rsidRPr="002E5EB4">
        <w:rPr>
          <w:rFonts w:cs="Times New Roman"/>
        </w:rPr>
        <w:t>interanual</w:t>
      </w:r>
      <w:r w:rsidR="00504AD8" w:rsidRPr="002E5EB4">
        <w:rPr>
          <w:rFonts w:cs="Times New Roman"/>
        </w:rPr>
        <w:t xml:space="preserve"> </w:t>
      </w:r>
      <w:r w:rsidR="00150376" w:rsidRPr="002E5EB4">
        <w:rPr>
          <w:rFonts w:cs="Times New Roman"/>
        </w:rPr>
        <w:t>fue las enfocadas a</w:t>
      </w:r>
      <w:r w:rsidR="007601B1" w:rsidRPr="002E5EB4">
        <w:rPr>
          <w:rFonts w:cs="Times New Roman"/>
        </w:rPr>
        <w:t xml:space="preserve"> </w:t>
      </w:r>
      <w:r w:rsidRPr="002E5EB4">
        <w:rPr>
          <w:rFonts w:cs="Times New Roman"/>
        </w:rPr>
        <w:t>la protección social</w:t>
      </w:r>
      <w:r w:rsidR="007601B1" w:rsidRPr="002E5EB4">
        <w:rPr>
          <w:rFonts w:cs="Times New Roman"/>
        </w:rPr>
        <w:t xml:space="preserve">, </w:t>
      </w:r>
      <w:r w:rsidR="00150376" w:rsidRPr="002E5EB4">
        <w:rPr>
          <w:rFonts w:cs="Times New Roman"/>
        </w:rPr>
        <w:t>las cuales</w:t>
      </w:r>
      <w:r w:rsidR="00EB794D" w:rsidRPr="002E5EB4">
        <w:rPr>
          <w:rFonts w:cs="Times New Roman"/>
        </w:rPr>
        <w:t xml:space="preserve"> </w:t>
      </w:r>
      <w:r w:rsidR="007601B1" w:rsidRPr="002E5EB4">
        <w:rPr>
          <w:rFonts w:cs="Times New Roman"/>
        </w:rPr>
        <w:t>ascendieron a Q</w:t>
      </w:r>
      <w:r w:rsidR="00EB794D" w:rsidRPr="002E5EB4">
        <w:rPr>
          <w:rFonts w:cs="Times New Roman"/>
        </w:rPr>
        <w:t>16,063.</w:t>
      </w:r>
      <w:r w:rsidR="0073190D">
        <w:rPr>
          <w:rFonts w:cs="Times New Roman"/>
        </w:rPr>
        <w:t>1</w:t>
      </w:r>
      <w:r w:rsidR="007601B1" w:rsidRPr="002E5EB4">
        <w:rPr>
          <w:rFonts w:cs="Times New Roman"/>
        </w:rPr>
        <w:t xml:space="preserve"> millones, </w:t>
      </w:r>
      <w:r w:rsidR="00EB794D" w:rsidRPr="002E5EB4">
        <w:rPr>
          <w:rFonts w:cs="Times New Roman"/>
        </w:rPr>
        <w:t xml:space="preserve">que representa </w:t>
      </w:r>
      <w:r w:rsidR="007601B1" w:rsidRPr="002E5EB4">
        <w:rPr>
          <w:rFonts w:cs="Times New Roman"/>
        </w:rPr>
        <w:t>tasa de crecimiento de</w:t>
      </w:r>
      <w:r w:rsidR="00287BDF" w:rsidRPr="002E5EB4">
        <w:rPr>
          <w:rFonts w:cs="Times New Roman"/>
        </w:rPr>
        <w:t>l</w:t>
      </w:r>
      <w:r w:rsidR="007601B1" w:rsidRPr="002E5EB4">
        <w:rPr>
          <w:rFonts w:cs="Times New Roman"/>
        </w:rPr>
        <w:t xml:space="preserve"> 2</w:t>
      </w:r>
      <w:r w:rsidR="00EB794D" w:rsidRPr="002E5EB4">
        <w:rPr>
          <w:rFonts w:cs="Times New Roman"/>
        </w:rPr>
        <w:t>3.8</w:t>
      </w:r>
      <w:r w:rsidR="007601B1" w:rsidRPr="002E5EB4">
        <w:rPr>
          <w:rFonts w:cs="Times New Roman"/>
        </w:rPr>
        <w:t>% (Q</w:t>
      </w:r>
      <w:r w:rsidR="00EB794D" w:rsidRPr="002E5EB4">
        <w:rPr>
          <w:rFonts w:cs="Times New Roman"/>
        </w:rPr>
        <w:t>3,09</w:t>
      </w:r>
      <w:r w:rsidR="00AA6B06">
        <w:rPr>
          <w:rFonts w:cs="Times New Roman"/>
        </w:rPr>
        <w:t>4</w:t>
      </w:r>
      <w:r w:rsidR="00EB794D" w:rsidRPr="002E5EB4">
        <w:rPr>
          <w:rFonts w:cs="Times New Roman"/>
        </w:rPr>
        <w:t>.</w:t>
      </w:r>
      <w:r w:rsidR="00821F77">
        <w:rPr>
          <w:rFonts w:cs="Times New Roman"/>
        </w:rPr>
        <w:t>8</w:t>
      </w:r>
      <w:r w:rsidR="007601B1" w:rsidRPr="002E5EB4">
        <w:rPr>
          <w:rFonts w:cs="Times New Roman"/>
        </w:rPr>
        <w:t xml:space="preserve"> millones). </w:t>
      </w:r>
      <w:r w:rsidR="00533D13" w:rsidRPr="002E5EB4">
        <w:rPr>
          <w:rFonts w:cs="Times New Roman"/>
        </w:rPr>
        <w:t>Cabe mencionar que el aumento en esta función se atribuye principalmente a la subcategoría de edad avanzada, cuyo aumento fue de 18.3% (Q1,656.7 millones). El 64.0% de la ejecución de esta funci</w:t>
      </w:r>
      <w:r w:rsidR="00CA6DAF">
        <w:rPr>
          <w:rFonts w:cs="Times New Roman"/>
        </w:rPr>
        <w:t>ó</w:t>
      </w:r>
      <w:r w:rsidR="00533D13" w:rsidRPr="002E5EB4">
        <w:rPr>
          <w:rFonts w:cs="Times New Roman"/>
        </w:rPr>
        <w:t>n se produce por el gobierno central presupuestario, el 33.5% por los fondos de seguridad social, el 1.7% por los gobiernos locales y el 0.8% por el gobierno central extrapresupuestario.</w:t>
      </w:r>
      <w:r w:rsidR="00A535C3" w:rsidRPr="002E5EB4">
        <w:rPr>
          <w:rFonts w:cs="Times New Roman"/>
        </w:rPr>
        <w:t xml:space="preserve"> </w:t>
      </w:r>
    </w:p>
    <w:p w14:paraId="6A3564C9" w14:textId="21D2F2DA" w:rsidR="00A535C3" w:rsidRPr="002E5EB4" w:rsidRDefault="00A535C3" w:rsidP="00A535C3">
      <w:pPr>
        <w:rPr>
          <w:rFonts w:cs="Times New Roman"/>
        </w:rPr>
      </w:pPr>
      <w:r w:rsidRPr="002E5EB4">
        <w:rPr>
          <w:rFonts w:cs="Times New Roman"/>
        </w:rPr>
        <w:t>En cuanto a las erogaciones destinadas a la función de educación, estas ascendieron a Q20,189.3 millones ocupando la tercera posición por mayor crecimiento, con una tasa de crecimiento interanual del 13.8% (Q2,442.6 millones). El aumento más alto dentro de esta función se produce en las erogaciones por enseñanza preescolar y primaria, la cual tiene una ejecución adicional del 8.8% (Q818.6 millones) respecto al mismo periodo del año previo y, las destinadas a servicios auxiliares de la educación ejecutó un 16.6% (Q675.3 millones) más que en el año previo. El gobierno central presupuestario ha sido el nivel de gobierno con mayor ejecución, siendo esta del 85.2% seguido del gobierno central extrapresupuestario el 10.9% y los gobiernos locales 3.9%.</w:t>
      </w:r>
    </w:p>
    <w:p w14:paraId="13399A30" w14:textId="01829706" w:rsidR="00F80C82" w:rsidRPr="002E5EB4" w:rsidRDefault="005431FF" w:rsidP="006F3389">
      <w:pPr>
        <w:rPr>
          <w:rFonts w:cs="Times New Roman"/>
          <w:sz w:val="22"/>
          <w:szCs w:val="22"/>
        </w:rPr>
      </w:pPr>
      <w:r w:rsidRPr="002E5EB4">
        <w:rPr>
          <w:rFonts w:cs="Times New Roman"/>
          <w:noProof/>
          <w:sz w:val="22"/>
          <w:szCs w:val="22"/>
          <w:lang w:eastAsia="es-GT"/>
        </w:rPr>
        <w:drawing>
          <wp:inline distT="0" distB="0" distL="0" distR="0" wp14:anchorId="29CE4EB6" wp14:editId="21E0E224">
            <wp:extent cx="5934710" cy="3200400"/>
            <wp:effectExtent l="0" t="0" r="889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0F8DE41" w14:textId="77777777" w:rsidR="00A535C3" w:rsidRPr="002E5EB4" w:rsidRDefault="00A535C3" w:rsidP="00A535C3">
      <w:pPr>
        <w:rPr>
          <w:rFonts w:cs="Times New Roman"/>
        </w:rPr>
      </w:pPr>
      <w:r w:rsidRPr="002E5EB4">
        <w:rPr>
          <w:rFonts w:cs="Times New Roman"/>
        </w:rPr>
        <w:lastRenderedPageBreak/>
        <w:t>Las erogaciones destinadas al orden público y seguridad se situaron en Q11,187.5 millones, registrando una variación interanual del 19.0% (Q1,789.1 millones). El aumento en esta función se explica principalmente por la ejecución en la subcategoría de servicios de policía el cual se incrementó en 16.6% (Q638.7 millones) respecto al año previo y la subcategoría de tribunales de justicia, el cual tuvo un crecimiento del 19.6% (Q552.8 millones). En esta función el gobierno central extrapresupuestario ejecutó el 50.1%; el gobierno central presupuestario, el 44.2%; y, los gobiernos locales, 5.7%.</w:t>
      </w:r>
    </w:p>
    <w:p w14:paraId="5E9AE877" w14:textId="18E957A9" w:rsidR="00A535C3" w:rsidRPr="002E5EB4" w:rsidRDefault="00BA626D" w:rsidP="00BA626D">
      <w:pPr>
        <w:rPr>
          <w:rFonts w:cs="Times New Roman"/>
        </w:rPr>
      </w:pPr>
      <w:r w:rsidRPr="002E5EB4">
        <w:rPr>
          <w:rFonts w:cs="Times New Roman"/>
        </w:rPr>
        <w:t xml:space="preserve">En lo que respecta a la erogación en </w:t>
      </w:r>
      <w:r w:rsidR="00597C26" w:rsidRPr="002E5EB4">
        <w:rPr>
          <w:rFonts w:cs="Times New Roman"/>
        </w:rPr>
        <w:t>salud, esta</w:t>
      </w:r>
      <w:r w:rsidRPr="002E5EB4">
        <w:rPr>
          <w:rFonts w:cs="Times New Roman"/>
        </w:rPr>
        <w:t xml:space="preserve"> es de</w:t>
      </w:r>
      <w:r w:rsidR="003736DF" w:rsidRPr="002E5EB4">
        <w:rPr>
          <w:rFonts w:cs="Times New Roman"/>
        </w:rPr>
        <w:t xml:space="preserve"> Q13,350.6 millones, registrando variación interanual de 11.5% (</w:t>
      </w:r>
      <w:r w:rsidR="00A535C3" w:rsidRPr="002E5EB4">
        <w:rPr>
          <w:rFonts w:cs="Times New Roman"/>
        </w:rPr>
        <w:t>Q</w:t>
      </w:r>
      <w:r w:rsidR="003736DF" w:rsidRPr="002E5EB4">
        <w:rPr>
          <w:rFonts w:cs="Times New Roman"/>
        </w:rPr>
        <w:t>1,372.1 millones), mientras l</w:t>
      </w:r>
      <w:r w:rsidR="00627569">
        <w:rPr>
          <w:rFonts w:cs="Times New Roman"/>
        </w:rPr>
        <w:t>a</w:t>
      </w:r>
      <w:r w:rsidR="003736DF" w:rsidRPr="002E5EB4">
        <w:rPr>
          <w:rFonts w:cs="Times New Roman"/>
        </w:rPr>
        <w:t xml:space="preserve"> erogación enfocada a vivienda y servicios comunitarios ascendieron a Q3,384.0 millones, con variación relativa de 27.1% (Q722.2 millones)</w:t>
      </w:r>
      <w:r w:rsidR="009B409A" w:rsidRPr="002E5EB4">
        <w:rPr>
          <w:rFonts w:cs="Times New Roman"/>
        </w:rPr>
        <w:t>,</w:t>
      </w:r>
      <w:r w:rsidR="003736DF" w:rsidRPr="002E5EB4">
        <w:rPr>
          <w:rFonts w:cs="Times New Roman"/>
        </w:rPr>
        <w:t xml:space="preserve"> las erogaciones por actividades recreativas, cultura y religión ascienden a Q2,250.4 millones con variación de 26.6% (Q473.4 millones)</w:t>
      </w:r>
      <w:r w:rsidR="006B353C" w:rsidRPr="002E5EB4">
        <w:rPr>
          <w:rFonts w:cs="Times New Roman"/>
        </w:rPr>
        <w:t xml:space="preserve">. </w:t>
      </w:r>
      <w:r w:rsidR="003736DF" w:rsidRPr="002E5EB4">
        <w:rPr>
          <w:rFonts w:cs="Times New Roman"/>
        </w:rPr>
        <w:t xml:space="preserve"> </w:t>
      </w:r>
    </w:p>
    <w:p w14:paraId="78D1C324" w14:textId="2E647422" w:rsidR="00BA626D" w:rsidRPr="002E5EB4" w:rsidRDefault="006B353C" w:rsidP="00BA626D">
      <w:pPr>
        <w:rPr>
          <w:rFonts w:cs="Times New Roman"/>
        </w:rPr>
      </w:pPr>
      <w:r w:rsidRPr="002E5EB4">
        <w:rPr>
          <w:rFonts w:cs="Times New Roman"/>
        </w:rPr>
        <w:t>E</w:t>
      </w:r>
      <w:r w:rsidR="003736DF" w:rsidRPr="002E5EB4">
        <w:rPr>
          <w:rFonts w:cs="Times New Roman"/>
        </w:rPr>
        <w:t>n cuanto a los asuntos económicos</w:t>
      </w:r>
      <w:r w:rsidR="00E57552">
        <w:rPr>
          <w:rFonts w:cs="Times New Roman"/>
        </w:rPr>
        <w:t>,</w:t>
      </w:r>
      <w:r w:rsidR="003736DF" w:rsidRPr="002E5EB4">
        <w:rPr>
          <w:rFonts w:cs="Times New Roman"/>
        </w:rPr>
        <w:t xml:space="preserve"> </w:t>
      </w:r>
      <w:r w:rsidRPr="002E5EB4">
        <w:rPr>
          <w:rFonts w:cs="Times New Roman"/>
        </w:rPr>
        <w:t xml:space="preserve">estos se sitúan en </w:t>
      </w:r>
      <w:r w:rsidR="009B409A" w:rsidRPr="002E5EB4">
        <w:rPr>
          <w:rFonts w:cs="Times New Roman"/>
        </w:rPr>
        <w:t>Q</w:t>
      </w:r>
      <w:r w:rsidR="003736DF" w:rsidRPr="002E5EB4">
        <w:rPr>
          <w:rFonts w:cs="Times New Roman"/>
        </w:rPr>
        <w:t>11,177.9 millones</w:t>
      </w:r>
      <w:r w:rsidR="003175CC" w:rsidRPr="002E5EB4">
        <w:rPr>
          <w:rFonts w:cs="Times New Roman"/>
        </w:rPr>
        <w:t xml:space="preserve"> y </w:t>
      </w:r>
      <w:r w:rsidR="003736DF" w:rsidRPr="002E5EB4">
        <w:rPr>
          <w:rFonts w:cs="Times New Roman"/>
        </w:rPr>
        <w:t xml:space="preserve">representa </w:t>
      </w:r>
      <w:r w:rsidR="003175CC" w:rsidRPr="002E5EB4">
        <w:rPr>
          <w:rFonts w:cs="Times New Roman"/>
        </w:rPr>
        <w:t xml:space="preserve">una </w:t>
      </w:r>
      <w:r w:rsidR="003736DF" w:rsidRPr="002E5EB4">
        <w:rPr>
          <w:rFonts w:cs="Times New Roman"/>
        </w:rPr>
        <w:t>variación de</w:t>
      </w:r>
      <w:r w:rsidR="003175CC" w:rsidRPr="002E5EB4">
        <w:rPr>
          <w:rFonts w:cs="Times New Roman"/>
        </w:rPr>
        <w:t>l</w:t>
      </w:r>
      <w:r w:rsidR="003736DF" w:rsidRPr="002E5EB4">
        <w:rPr>
          <w:rFonts w:cs="Times New Roman"/>
        </w:rPr>
        <w:t xml:space="preserve"> 2.6% (Q288.2 millones)</w:t>
      </w:r>
      <w:r w:rsidR="003175CC" w:rsidRPr="002E5EB4">
        <w:rPr>
          <w:rFonts w:cs="Times New Roman"/>
        </w:rPr>
        <w:t xml:space="preserve"> </w:t>
      </w:r>
      <w:r w:rsidR="00E57552">
        <w:rPr>
          <w:rFonts w:cs="Times New Roman"/>
        </w:rPr>
        <w:t>y que</w:t>
      </w:r>
      <w:r w:rsidR="003175CC" w:rsidRPr="002E5EB4">
        <w:rPr>
          <w:rFonts w:cs="Times New Roman"/>
        </w:rPr>
        <w:t xml:space="preserve"> cabe mencionar que es </w:t>
      </w:r>
      <w:r w:rsidR="003736DF" w:rsidRPr="002E5EB4">
        <w:rPr>
          <w:rFonts w:cs="Times New Roman"/>
        </w:rPr>
        <w:t xml:space="preserve">menor a la registrada en el mismo periodo del año previo </w:t>
      </w:r>
      <w:r w:rsidR="00A535C3" w:rsidRPr="002E5EB4">
        <w:rPr>
          <w:rFonts w:cs="Times New Roman"/>
        </w:rPr>
        <w:t xml:space="preserve">derivado </w:t>
      </w:r>
      <w:r w:rsidR="00597C26" w:rsidRPr="002E5EB4">
        <w:rPr>
          <w:rFonts w:cs="Times New Roman"/>
        </w:rPr>
        <w:t xml:space="preserve">en </w:t>
      </w:r>
      <w:r w:rsidR="000E570F">
        <w:rPr>
          <w:rFonts w:cs="Times New Roman"/>
        </w:rPr>
        <w:t>2022</w:t>
      </w:r>
      <w:r w:rsidR="00A535C3" w:rsidRPr="002E5EB4">
        <w:rPr>
          <w:rFonts w:cs="Times New Roman"/>
        </w:rPr>
        <w:t xml:space="preserve"> f</w:t>
      </w:r>
      <w:r w:rsidR="003736DF" w:rsidRPr="002E5EB4">
        <w:rPr>
          <w:rFonts w:cs="Times New Roman"/>
        </w:rPr>
        <w:t>ue otorgado el</w:t>
      </w:r>
      <w:r w:rsidR="00BA626D" w:rsidRPr="002E5EB4">
        <w:rPr>
          <w:rFonts w:cs="Times New Roman"/>
        </w:rPr>
        <w:t xml:space="preserve"> subsidio al gas propano y los combustibles</w:t>
      </w:r>
      <w:r w:rsidR="00A535C3" w:rsidRPr="002E5EB4">
        <w:rPr>
          <w:rFonts w:cs="Times New Roman"/>
        </w:rPr>
        <w:t>. Las erogaciones</w:t>
      </w:r>
      <w:r w:rsidR="003736DF" w:rsidRPr="002E5EB4">
        <w:rPr>
          <w:rFonts w:cs="Times New Roman"/>
        </w:rPr>
        <w:t xml:space="preserve"> por protección del medio ambiente ascienden a Q1,975.4 millones, que representa crecimiento de 13.9% (Q241.2 millones) respecto al mismo periodo del año anterior</w:t>
      </w:r>
      <w:r w:rsidR="00BA626D" w:rsidRPr="002E5EB4">
        <w:rPr>
          <w:rFonts w:cs="Times New Roman"/>
        </w:rPr>
        <w:t>.</w:t>
      </w:r>
    </w:p>
    <w:p w14:paraId="668D06D3" w14:textId="776105ED" w:rsidR="00335173" w:rsidRPr="002E5EB4" w:rsidRDefault="00335173" w:rsidP="00335173">
      <w:pPr>
        <w:rPr>
          <w:rFonts w:cs="Times New Roman"/>
        </w:rPr>
      </w:pPr>
      <w:r w:rsidRPr="002E5EB4">
        <w:rPr>
          <w:rFonts w:cs="Times New Roman"/>
        </w:rPr>
        <w:t xml:space="preserve">Por su parte, es </w:t>
      </w:r>
      <w:r w:rsidR="00597C26" w:rsidRPr="002E5EB4">
        <w:rPr>
          <w:rFonts w:cs="Times New Roman"/>
        </w:rPr>
        <w:t>oportuno</w:t>
      </w:r>
      <w:r w:rsidRPr="002E5EB4">
        <w:rPr>
          <w:rFonts w:cs="Times New Roman"/>
        </w:rPr>
        <w:t xml:space="preserve"> mencionar que la función que continúa registrando </w:t>
      </w:r>
      <w:r w:rsidR="0070681C" w:rsidRPr="002E5EB4">
        <w:rPr>
          <w:rFonts w:cs="Times New Roman"/>
        </w:rPr>
        <w:t xml:space="preserve">una </w:t>
      </w:r>
      <w:r w:rsidRPr="002E5EB4">
        <w:rPr>
          <w:rFonts w:cs="Times New Roman"/>
        </w:rPr>
        <w:t xml:space="preserve">disminución </w:t>
      </w:r>
      <w:r w:rsidR="0070681C" w:rsidRPr="002E5EB4">
        <w:rPr>
          <w:rFonts w:cs="Times New Roman"/>
        </w:rPr>
        <w:t xml:space="preserve">interanual </w:t>
      </w:r>
      <w:r w:rsidRPr="002E5EB4">
        <w:rPr>
          <w:rFonts w:cs="Times New Roman"/>
        </w:rPr>
        <w:t xml:space="preserve">en su ejecución es la </w:t>
      </w:r>
      <w:r w:rsidR="000E570F">
        <w:rPr>
          <w:rFonts w:cs="Times New Roman"/>
        </w:rPr>
        <w:t>enfocada a</w:t>
      </w:r>
      <w:r w:rsidRPr="002E5EB4">
        <w:rPr>
          <w:rFonts w:cs="Times New Roman"/>
        </w:rPr>
        <w:t xml:space="preserve"> defensa</w:t>
      </w:r>
      <w:r w:rsidR="008A6FB8">
        <w:rPr>
          <w:rFonts w:cs="Times New Roman"/>
        </w:rPr>
        <w:t>.</w:t>
      </w:r>
      <w:r w:rsidRPr="002E5EB4">
        <w:rPr>
          <w:rFonts w:cs="Times New Roman"/>
        </w:rPr>
        <w:t xml:space="preserve"> </w:t>
      </w:r>
      <w:r w:rsidR="008A6FB8">
        <w:rPr>
          <w:rFonts w:cs="Times New Roman"/>
        </w:rPr>
        <w:t>A</w:t>
      </w:r>
      <w:r w:rsidR="0070681C" w:rsidRPr="002E5EB4">
        <w:rPr>
          <w:rFonts w:cs="Times New Roman"/>
        </w:rPr>
        <w:t>l finali</w:t>
      </w:r>
      <w:r w:rsidR="000F0D3B" w:rsidRPr="002E5EB4">
        <w:rPr>
          <w:rFonts w:cs="Times New Roman"/>
        </w:rPr>
        <w:t>zar el tercer trimestre</w:t>
      </w:r>
      <w:r w:rsidR="008A6FB8">
        <w:rPr>
          <w:rFonts w:cs="Times New Roman"/>
        </w:rPr>
        <w:t>, esta</w:t>
      </w:r>
      <w:r w:rsidR="000F0D3B" w:rsidRPr="002E5EB4">
        <w:rPr>
          <w:rFonts w:cs="Times New Roman"/>
        </w:rPr>
        <w:t xml:space="preserve"> asciende a</w:t>
      </w:r>
      <w:r w:rsidRPr="002E5EB4">
        <w:rPr>
          <w:rFonts w:cs="Times New Roman"/>
        </w:rPr>
        <w:t xml:space="preserve"> Q1,492.4 millones </w:t>
      </w:r>
      <w:r w:rsidR="000F0D3B" w:rsidRPr="002E5EB4">
        <w:rPr>
          <w:rFonts w:cs="Times New Roman"/>
        </w:rPr>
        <w:t xml:space="preserve">siendo menor en </w:t>
      </w:r>
      <w:r w:rsidRPr="002E5EB4">
        <w:rPr>
          <w:rFonts w:cs="Times New Roman"/>
        </w:rPr>
        <w:t>6.8% (Q108.6 millones)</w:t>
      </w:r>
      <w:r w:rsidR="000F0D3B" w:rsidRPr="002E5EB4">
        <w:rPr>
          <w:rFonts w:cs="Times New Roman"/>
        </w:rPr>
        <w:t xml:space="preserve"> </w:t>
      </w:r>
      <w:r w:rsidR="008A6FB8">
        <w:rPr>
          <w:rFonts w:cs="Times New Roman"/>
        </w:rPr>
        <w:t xml:space="preserve">respecto al </w:t>
      </w:r>
      <w:r w:rsidR="000F0D3B" w:rsidRPr="002E5EB4">
        <w:rPr>
          <w:rFonts w:cs="Times New Roman"/>
        </w:rPr>
        <w:t>año previo</w:t>
      </w:r>
      <w:r w:rsidR="0093226C" w:rsidRPr="002E5EB4">
        <w:rPr>
          <w:rFonts w:cs="Times New Roman"/>
        </w:rPr>
        <w:t xml:space="preserve"> y</w:t>
      </w:r>
      <w:r w:rsidRPr="002E5EB4">
        <w:rPr>
          <w:rFonts w:cs="Times New Roman"/>
        </w:rPr>
        <w:t xml:space="preserve"> cuyo comportamiento es explicado principalmente por </w:t>
      </w:r>
      <w:r w:rsidR="0093226C" w:rsidRPr="002E5EB4">
        <w:rPr>
          <w:rFonts w:cs="Times New Roman"/>
        </w:rPr>
        <w:t>la subcategoría</w:t>
      </w:r>
      <w:r w:rsidRPr="002E5EB4">
        <w:rPr>
          <w:rFonts w:cs="Times New Roman"/>
        </w:rPr>
        <w:t xml:space="preserve"> </w:t>
      </w:r>
      <w:r w:rsidR="0093226C" w:rsidRPr="002E5EB4">
        <w:rPr>
          <w:rFonts w:cs="Times New Roman"/>
        </w:rPr>
        <w:t>de</w:t>
      </w:r>
      <w:r w:rsidRPr="002E5EB4">
        <w:rPr>
          <w:rFonts w:cs="Times New Roman"/>
        </w:rPr>
        <w:t xml:space="preserve"> defensa militar, que mostraron disminución de 10.3% (Q123.7 millones).</w:t>
      </w:r>
    </w:p>
    <w:p w14:paraId="152CF97B" w14:textId="0B993A42" w:rsidR="00840E88" w:rsidRPr="002E5EB4" w:rsidRDefault="00840E88" w:rsidP="001B3E33">
      <w:pPr>
        <w:pStyle w:val="Ttulo1"/>
        <w:numPr>
          <w:ilvl w:val="0"/>
          <w:numId w:val="12"/>
        </w:numPr>
        <w:rPr>
          <w:lang w:val="es-ES_tradnl" w:eastAsia="es-ES"/>
        </w:rPr>
      </w:pPr>
      <w:bookmarkStart w:id="1417" w:name="_Toc154158283"/>
      <w:r w:rsidRPr="002E5EB4">
        <w:rPr>
          <w:lang w:val="es-MX"/>
        </w:rPr>
        <w:t>Resultados</w:t>
      </w:r>
      <w:r w:rsidR="001B3E33" w:rsidRPr="002E5EB4">
        <w:rPr>
          <w:lang w:val="es-ES_tradnl" w:eastAsia="es-ES"/>
        </w:rPr>
        <w:t xml:space="preserve"> Fiscales</w:t>
      </w:r>
      <w:bookmarkEnd w:id="1417"/>
    </w:p>
    <w:p w14:paraId="1B0B0861" w14:textId="7405193D" w:rsidR="00364844" w:rsidRPr="002E5EB4" w:rsidRDefault="00BD6585" w:rsidP="001B3E33">
      <w:pPr>
        <w:pStyle w:val="Ttulo2"/>
        <w:numPr>
          <w:ilvl w:val="1"/>
          <w:numId w:val="12"/>
        </w:numPr>
        <w:tabs>
          <w:tab w:val="left" w:pos="426"/>
        </w:tabs>
        <w:spacing w:before="0"/>
        <w:rPr>
          <w:rFonts w:cs="Times New Roman"/>
          <w:sz w:val="22"/>
          <w:szCs w:val="22"/>
        </w:rPr>
      </w:pPr>
      <w:bookmarkStart w:id="1418" w:name="_Toc42069123"/>
      <w:bookmarkStart w:id="1419" w:name="_Toc49422069"/>
      <w:bookmarkStart w:id="1420" w:name="_Toc49422095"/>
      <w:bookmarkStart w:id="1421" w:name="_Toc49430674"/>
      <w:bookmarkStart w:id="1422" w:name="_Toc49430700"/>
      <w:bookmarkStart w:id="1423" w:name="_Toc49750477"/>
      <w:bookmarkStart w:id="1424" w:name="_Toc49750727"/>
      <w:bookmarkStart w:id="1425" w:name="_Toc49750755"/>
      <w:bookmarkStart w:id="1426" w:name="_Toc55284841"/>
      <w:bookmarkStart w:id="1427" w:name="_Toc55298859"/>
      <w:bookmarkStart w:id="1428" w:name="_Toc55373842"/>
      <w:bookmarkStart w:id="1429" w:name="_Toc55374018"/>
      <w:bookmarkStart w:id="1430" w:name="_Toc55375155"/>
      <w:bookmarkStart w:id="1431" w:name="_Toc55396563"/>
      <w:bookmarkStart w:id="1432" w:name="_Toc65230560"/>
      <w:bookmarkStart w:id="1433" w:name="_Toc65230798"/>
      <w:bookmarkStart w:id="1434" w:name="_Toc65232082"/>
      <w:bookmarkStart w:id="1435" w:name="_Toc65232327"/>
      <w:bookmarkStart w:id="1436" w:name="_Toc66716186"/>
      <w:bookmarkStart w:id="1437" w:name="_Toc71097230"/>
      <w:bookmarkStart w:id="1438" w:name="_Toc71097261"/>
      <w:bookmarkStart w:id="1439" w:name="_Toc71097336"/>
      <w:bookmarkStart w:id="1440" w:name="_Toc71108076"/>
      <w:bookmarkStart w:id="1441" w:name="_Toc79055270"/>
      <w:bookmarkStart w:id="1442" w:name="_Toc79055301"/>
      <w:bookmarkStart w:id="1443" w:name="_Toc79060192"/>
      <w:bookmarkStart w:id="1444" w:name="_Toc79060479"/>
      <w:bookmarkStart w:id="1445" w:name="_Toc81307836"/>
      <w:bookmarkStart w:id="1446" w:name="_Toc83376497"/>
      <w:bookmarkStart w:id="1447" w:name="_Toc86386736"/>
      <w:bookmarkStart w:id="1448" w:name="_Toc86405422"/>
      <w:bookmarkStart w:id="1449" w:name="_Toc98162452"/>
      <w:bookmarkStart w:id="1450" w:name="_Toc98162484"/>
      <w:bookmarkStart w:id="1451" w:name="_Toc98235010"/>
      <w:bookmarkStart w:id="1452" w:name="_Toc98235205"/>
      <w:bookmarkStart w:id="1453" w:name="_Toc98235290"/>
      <w:bookmarkStart w:id="1454" w:name="_Toc98757160"/>
      <w:bookmarkStart w:id="1455" w:name="_Toc101874715"/>
      <w:bookmarkStart w:id="1456" w:name="_Toc101954171"/>
      <w:bookmarkStart w:id="1457" w:name="_Toc101971988"/>
      <w:bookmarkStart w:id="1458" w:name="_Toc101974080"/>
      <w:bookmarkStart w:id="1459" w:name="_Toc102039765"/>
      <w:bookmarkStart w:id="1460" w:name="_Toc102039803"/>
      <w:bookmarkStart w:id="1461" w:name="_Toc102039843"/>
      <w:bookmarkStart w:id="1462" w:name="_Toc102039874"/>
      <w:bookmarkStart w:id="1463" w:name="_Toc102040932"/>
      <w:bookmarkStart w:id="1464" w:name="_Toc102477780"/>
      <w:bookmarkStart w:id="1465" w:name="_Toc102477811"/>
      <w:bookmarkStart w:id="1466" w:name="_Toc109824841"/>
      <w:bookmarkStart w:id="1467" w:name="_Toc109828797"/>
      <w:bookmarkStart w:id="1468" w:name="_Toc109828860"/>
      <w:bookmarkStart w:id="1469" w:name="_Toc109829036"/>
      <w:bookmarkStart w:id="1470" w:name="_Toc109829067"/>
      <w:bookmarkStart w:id="1471" w:name="_Toc109833911"/>
      <w:bookmarkStart w:id="1472" w:name="_Toc110237454"/>
      <w:bookmarkStart w:id="1473" w:name="_Toc117775331"/>
      <w:bookmarkStart w:id="1474" w:name="_Toc117781300"/>
      <w:bookmarkStart w:id="1475" w:name="_Toc125620828"/>
      <w:bookmarkStart w:id="1476" w:name="_Toc125620859"/>
      <w:bookmarkStart w:id="1477" w:name="_Toc125620890"/>
      <w:bookmarkStart w:id="1478" w:name="_Toc125620926"/>
      <w:bookmarkStart w:id="1479" w:name="_Toc125620957"/>
      <w:bookmarkStart w:id="1480" w:name="_Toc125620991"/>
      <w:bookmarkStart w:id="1481" w:name="_Toc125621044"/>
      <w:bookmarkStart w:id="1482" w:name="_Toc125621098"/>
      <w:bookmarkStart w:id="1483" w:name="_Toc125623576"/>
      <w:bookmarkStart w:id="1484" w:name="_Toc125623608"/>
      <w:bookmarkStart w:id="1485" w:name="_Toc125623640"/>
      <w:bookmarkStart w:id="1486" w:name="_Toc125970386"/>
      <w:bookmarkStart w:id="1487" w:name="_Toc125970418"/>
      <w:bookmarkStart w:id="1488" w:name="_Toc127365869"/>
      <w:bookmarkStart w:id="1489" w:name="_Toc127434620"/>
      <w:bookmarkStart w:id="1490" w:name="_Toc127436988"/>
      <w:bookmarkStart w:id="1491" w:name="_Toc127437349"/>
      <w:bookmarkStart w:id="1492" w:name="_Toc127437704"/>
      <w:bookmarkStart w:id="1493" w:name="_Toc154158284"/>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002E5EB4">
        <w:rPr>
          <w:rFonts w:cs="Times New Roman"/>
          <w:sz w:val="22"/>
          <w:szCs w:val="22"/>
        </w:rPr>
        <w:t>R</w:t>
      </w:r>
      <w:r w:rsidR="00540B30" w:rsidRPr="002E5EB4">
        <w:rPr>
          <w:rFonts w:cs="Times New Roman"/>
          <w:sz w:val="22"/>
          <w:szCs w:val="22"/>
        </w:rPr>
        <w:t xml:space="preserve">esultado </w:t>
      </w:r>
      <w:r w:rsidR="003C3E6F" w:rsidRPr="002E5EB4">
        <w:rPr>
          <w:rFonts w:cs="Times New Roman"/>
          <w:sz w:val="22"/>
          <w:szCs w:val="22"/>
        </w:rPr>
        <w:t>O</w:t>
      </w:r>
      <w:r w:rsidR="00540B30" w:rsidRPr="002E5EB4">
        <w:rPr>
          <w:rFonts w:cs="Times New Roman"/>
          <w:sz w:val="22"/>
          <w:szCs w:val="22"/>
        </w:rPr>
        <w:t>perativo</w:t>
      </w:r>
      <w:bookmarkEnd w:id="1493"/>
      <w:r w:rsidR="00EE52DF" w:rsidRPr="002E5EB4">
        <w:rPr>
          <w:rFonts w:cs="Times New Roman"/>
          <w:sz w:val="22"/>
          <w:szCs w:val="22"/>
        </w:rPr>
        <w:t xml:space="preserve"> </w:t>
      </w:r>
      <w:bookmarkEnd w:id="755"/>
    </w:p>
    <w:p w14:paraId="63C686B2" w14:textId="4E57B0A0" w:rsidR="00EF1A40" w:rsidRPr="002E5EB4" w:rsidRDefault="00EF1A40" w:rsidP="00EF1A40">
      <w:pPr>
        <w:pStyle w:val="Sinespaciado"/>
        <w:rPr>
          <w:rFonts w:ascii="Times New Roman" w:hAnsi="Times New Roman" w:cs="Times New Roman"/>
        </w:rPr>
      </w:pPr>
      <w:r w:rsidRPr="002E5EB4">
        <w:rPr>
          <w:rFonts w:ascii="Times New Roman" w:hAnsi="Times New Roman" w:cs="Times New Roman"/>
        </w:rPr>
        <w:t xml:space="preserve">El resultado operativo al tercer trimestre </w:t>
      </w:r>
      <w:r w:rsidR="009E3A34" w:rsidRPr="002E5EB4">
        <w:rPr>
          <w:rFonts w:ascii="Times New Roman" w:hAnsi="Times New Roman" w:cs="Times New Roman"/>
        </w:rPr>
        <w:t>es</w:t>
      </w:r>
      <w:r w:rsidRPr="002E5EB4">
        <w:rPr>
          <w:rFonts w:ascii="Times New Roman" w:hAnsi="Times New Roman" w:cs="Times New Roman"/>
        </w:rPr>
        <w:t xml:space="preserve"> positivo por Q10,8</w:t>
      </w:r>
      <w:r w:rsidR="00DE390D" w:rsidRPr="002E5EB4">
        <w:rPr>
          <w:rFonts w:ascii="Times New Roman" w:hAnsi="Times New Roman" w:cs="Times New Roman"/>
        </w:rPr>
        <w:t>12</w:t>
      </w:r>
      <w:r w:rsidRPr="002E5EB4">
        <w:rPr>
          <w:rFonts w:ascii="Times New Roman" w:hAnsi="Times New Roman" w:cs="Times New Roman"/>
        </w:rPr>
        <w:t>.0 millones y en términos del resultado operativo primario (sin considerar el pago de intereses)</w:t>
      </w:r>
      <w:r w:rsidR="00DE390D" w:rsidRPr="002E5EB4">
        <w:rPr>
          <w:rFonts w:ascii="Times New Roman" w:hAnsi="Times New Roman" w:cs="Times New Roman"/>
        </w:rPr>
        <w:t xml:space="preserve">, este </w:t>
      </w:r>
      <w:r w:rsidR="00AA313E">
        <w:rPr>
          <w:rFonts w:ascii="Times New Roman" w:hAnsi="Times New Roman" w:cs="Times New Roman"/>
        </w:rPr>
        <w:t>se mantiene</w:t>
      </w:r>
      <w:r w:rsidR="00DE390D" w:rsidRPr="002E5EB4">
        <w:rPr>
          <w:rFonts w:ascii="Times New Roman" w:hAnsi="Times New Roman" w:cs="Times New Roman"/>
        </w:rPr>
        <w:t xml:space="preserve"> </w:t>
      </w:r>
      <w:r w:rsidRPr="002E5EB4">
        <w:rPr>
          <w:rFonts w:ascii="Times New Roman" w:hAnsi="Times New Roman" w:cs="Times New Roman"/>
        </w:rPr>
        <w:t xml:space="preserve">positivo </w:t>
      </w:r>
      <w:r w:rsidR="00AA313E">
        <w:rPr>
          <w:rFonts w:ascii="Times New Roman" w:hAnsi="Times New Roman" w:cs="Times New Roman"/>
        </w:rPr>
        <w:t>en</w:t>
      </w:r>
      <w:r w:rsidRPr="002E5EB4">
        <w:rPr>
          <w:rFonts w:ascii="Times New Roman" w:hAnsi="Times New Roman" w:cs="Times New Roman"/>
        </w:rPr>
        <w:t xml:space="preserve"> Q19,</w:t>
      </w:r>
      <w:r w:rsidR="00BA261B" w:rsidRPr="002E5EB4">
        <w:rPr>
          <w:rFonts w:ascii="Times New Roman" w:hAnsi="Times New Roman" w:cs="Times New Roman"/>
        </w:rPr>
        <w:t>363</w:t>
      </w:r>
      <w:r w:rsidRPr="002E5EB4">
        <w:rPr>
          <w:rFonts w:ascii="Times New Roman" w:hAnsi="Times New Roman" w:cs="Times New Roman"/>
        </w:rPr>
        <w:t>.4 millones.</w:t>
      </w:r>
    </w:p>
    <w:p w14:paraId="0C721065" w14:textId="06634F84" w:rsidR="00973029" w:rsidRDefault="002A5E08" w:rsidP="00EF1A40">
      <w:pPr>
        <w:pStyle w:val="Sinespaciado"/>
        <w:jc w:val="both"/>
        <w:rPr>
          <w:rFonts w:ascii="Times New Roman" w:hAnsi="Times New Roman" w:cs="Times New Roman"/>
        </w:rPr>
      </w:pPr>
      <w:r w:rsidRPr="002E5EB4">
        <w:rPr>
          <w:rFonts w:ascii="Times New Roman" w:hAnsi="Times New Roman" w:cs="Times New Roman"/>
        </w:rPr>
        <w:t>En cuanto a cada subnivel de</w:t>
      </w:r>
      <w:r w:rsidR="00BA261B" w:rsidRPr="002E5EB4">
        <w:rPr>
          <w:rFonts w:ascii="Times New Roman" w:hAnsi="Times New Roman" w:cs="Times New Roman"/>
        </w:rPr>
        <w:t xml:space="preserve"> gobierno, </w:t>
      </w:r>
      <w:r w:rsidR="00EF1A40" w:rsidRPr="002E5EB4">
        <w:rPr>
          <w:rFonts w:ascii="Times New Roman" w:hAnsi="Times New Roman" w:cs="Times New Roman"/>
        </w:rPr>
        <w:t xml:space="preserve">el gobierno central presupuestario </w:t>
      </w:r>
      <w:r w:rsidR="00BA261B" w:rsidRPr="002E5EB4">
        <w:rPr>
          <w:rFonts w:ascii="Times New Roman" w:hAnsi="Times New Roman" w:cs="Times New Roman"/>
        </w:rPr>
        <w:t>tiene un resultado operativo</w:t>
      </w:r>
      <w:r w:rsidR="00EF1A40" w:rsidRPr="002E5EB4">
        <w:rPr>
          <w:rFonts w:ascii="Times New Roman" w:hAnsi="Times New Roman" w:cs="Times New Roman"/>
        </w:rPr>
        <w:t xml:space="preserve"> negativo por Q3,309.6 millones,</w:t>
      </w:r>
      <w:r w:rsidR="0055062F" w:rsidRPr="002E5EB4">
        <w:rPr>
          <w:rFonts w:ascii="Times New Roman" w:hAnsi="Times New Roman" w:cs="Times New Roman"/>
        </w:rPr>
        <w:t xml:space="preserve"> mientras que</w:t>
      </w:r>
      <w:r w:rsidR="00EF1A40" w:rsidRPr="002E5EB4">
        <w:rPr>
          <w:rFonts w:ascii="Times New Roman" w:hAnsi="Times New Roman" w:cs="Times New Roman"/>
        </w:rPr>
        <w:t xml:space="preserve"> el gobierno central extrapresupuestario mostró resultado positivo por Q2,022.6 millones, </w:t>
      </w:r>
      <w:r w:rsidR="00AA313E">
        <w:rPr>
          <w:rFonts w:ascii="Times New Roman" w:hAnsi="Times New Roman" w:cs="Times New Roman"/>
        </w:rPr>
        <w:t xml:space="preserve">igualmente fue positivo en </w:t>
      </w:r>
      <w:r w:rsidR="00EF1A40" w:rsidRPr="002E5EB4">
        <w:rPr>
          <w:rFonts w:ascii="Times New Roman" w:hAnsi="Times New Roman" w:cs="Times New Roman"/>
        </w:rPr>
        <w:t>los fondos de seguridad social por Q2,957.3 millones y los gobiernos locales por Q9,1</w:t>
      </w:r>
      <w:r w:rsidR="00674AA5" w:rsidRPr="002E5EB4">
        <w:rPr>
          <w:rFonts w:ascii="Times New Roman" w:hAnsi="Times New Roman" w:cs="Times New Roman"/>
        </w:rPr>
        <w:t>41</w:t>
      </w:r>
      <w:r w:rsidR="00EF1A40" w:rsidRPr="002E5EB4">
        <w:rPr>
          <w:rFonts w:ascii="Times New Roman" w:hAnsi="Times New Roman" w:cs="Times New Roman"/>
        </w:rPr>
        <w:t>.</w:t>
      </w:r>
      <w:r w:rsidR="00AE26E7">
        <w:rPr>
          <w:rFonts w:ascii="Times New Roman" w:hAnsi="Times New Roman" w:cs="Times New Roman"/>
        </w:rPr>
        <w:t>7</w:t>
      </w:r>
      <w:r w:rsidR="00EF1A40" w:rsidRPr="002E5EB4">
        <w:rPr>
          <w:rFonts w:ascii="Times New Roman" w:hAnsi="Times New Roman" w:cs="Times New Roman"/>
        </w:rPr>
        <w:t xml:space="preserve"> millones.</w:t>
      </w:r>
    </w:p>
    <w:p w14:paraId="27E42E44" w14:textId="77777777" w:rsidR="00FA2B29" w:rsidRPr="00FA2B29" w:rsidRDefault="00FA2B29" w:rsidP="00EF1A40">
      <w:pPr>
        <w:pStyle w:val="Sinespaciado"/>
        <w:jc w:val="both"/>
        <w:rPr>
          <w:rFonts w:ascii="Times New Roman" w:hAnsi="Times New Roman" w:cs="Times New Roman"/>
          <w:sz w:val="6"/>
          <w:szCs w:val="6"/>
        </w:rPr>
      </w:pPr>
    </w:p>
    <w:p w14:paraId="10242320" w14:textId="2BF308AE" w:rsidR="00374C59" w:rsidRPr="002E5EB4" w:rsidRDefault="00136038" w:rsidP="001B3E33">
      <w:pPr>
        <w:pStyle w:val="Ttulo2"/>
        <w:numPr>
          <w:ilvl w:val="1"/>
          <w:numId w:val="12"/>
        </w:numPr>
        <w:tabs>
          <w:tab w:val="left" w:pos="426"/>
        </w:tabs>
        <w:spacing w:before="0"/>
        <w:ind w:left="284" w:hanging="284"/>
        <w:rPr>
          <w:rFonts w:cs="Times New Roman"/>
          <w:sz w:val="22"/>
          <w:szCs w:val="22"/>
        </w:rPr>
      </w:pPr>
      <w:bookmarkStart w:id="1494" w:name="_Toc154158285"/>
      <w:r w:rsidRPr="002E5EB4">
        <w:rPr>
          <w:rFonts w:cs="Times New Roman"/>
          <w:sz w:val="22"/>
          <w:szCs w:val="22"/>
        </w:rPr>
        <w:t>Endeudamiento</w:t>
      </w:r>
      <w:r w:rsidR="00B4032C" w:rsidRPr="002E5EB4">
        <w:rPr>
          <w:rFonts w:cs="Times New Roman"/>
          <w:sz w:val="22"/>
          <w:szCs w:val="22"/>
        </w:rPr>
        <w:t xml:space="preserve"> Neto</w:t>
      </w:r>
      <w:bookmarkEnd w:id="1494"/>
    </w:p>
    <w:p w14:paraId="0B91F022" w14:textId="46891C09" w:rsidR="00A605E4" w:rsidRPr="002E5EB4" w:rsidRDefault="0055062F" w:rsidP="00A605E4">
      <w:pPr>
        <w:rPr>
          <w:rFonts w:cs="Times New Roman"/>
        </w:rPr>
      </w:pPr>
      <w:r w:rsidRPr="002E5EB4">
        <w:rPr>
          <w:rFonts w:cs="Times New Roman"/>
        </w:rPr>
        <w:t xml:space="preserve">En cuanto al </w:t>
      </w:r>
      <w:r w:rsidR="00A605E4" w:rsidRPr="002E5EB4">
        <w:rPr>
          <w:rFonts w:cs="Times New Roman"/>
        </w:rPr>
        <w:t xml:space="preserve">resultado total de las operaciones del gobierno general, al tercer trimestre </w:t>
      </w:r>
      <w:r w:rsidR="00DE5635" w:rsidRPr="002E5EB4">
        <w:rPr>
          <w:rFonts w:cs="Times New Roman"/>
        </w:rPr>
        <w:t>se</w:t>
      </w:r>
      <w:r w:rsidR="00A605E4" w:rsidRPr="002E5EB4">
        <w:rPr>
          <w:rFonts w:cs="Times New Roman"/>
        </w:rPr>
        <w:t xml:space="preserve"> registró endeudamiento neto (déficit) por Q2,2</w:t>
      </w:r>
      <w:r w:rsidR="0034682F" w:rsidRPr="002E5EB4">
        <w:rPr>
          <w:rFonts w:cs="Times New Roman"/>
        </w:rPr>
        <w:t>9</w:t>
      </w:r>
      <w:r w:rsidR="00A605E4" w:rsidRPr="002E5EB4">
        <w:rPr>
          <w:rFonts w:cs="Times New Roman"/>
        </w:rPr>
        <w:t>5.7 millones y un resultado primario (al no considerar el pago de intereses) positivo por Q</w:t>
      </w:r>
      <w:r w:rsidR="0034682F" w:rsidRPr="002E5EB4">
        <w:rPr>
          <w:rFonts w:cs="Times New Roman"/>
        </w:rPr>
        <w:t>6,255.7</w:t>
      </w:r>
      <w:r w:rsidR="00A605E4" w:rsidRPr="002E5EB4">
        <w:rPr>
          <w:rFonts w:cs="Times New Roman"/>
        </w:rPr>
        <w:t xml:space="preserve"> millones. </w:t>
      </w:r>
    </w:p>
    <w:p w14:paraId="530E6255" w14:textId="0B63D34F" w:rsidR="00B3292C" w:rsidRPr="002E5EB4" w:rsidRDefault="00A605E4" w:rsidP="00A605E4">
      <w:pPr>
        <w:rPr>
          <w:rFonts w:ascii="Symbol" w:hAnsi="Symbol" w:cs="Times New Roman" w:hint="eastAsia"/>
        </w:rPr>
      </w:pPr>
      <w:r w:rsidRPr="002E5EB4">
        <w:rPr>
          <w:rFonts w:cs="Times New Roman"/>
        </w:rPr>
        <w:t xml:space="preserve">El </w:t>
      </w:r>
      <w:r w:rsidR="009B77D6">
        <w:rPr>
          <w:rFonts w:cs="Times New Roman"/>
        </w:rPr>
        <w:t>resultado</w:t>
      </w:r>
      <w:r w:rsidRPr="002E5EB4">
        <w:rPr>
          <w:rFonts w:cs="Times New Roman"/>
        </w:rPr>
        <w:t xml:space="preserve"> por subsectores muestra que, el gobierno central presupuestario registró endeudamiento (déficit) de Q6,896.4 millones, el gobierno central extrapresupuestario registró préstamo neto (superávit) de Q1,485.1 millones, los fondos de seguridad social mostrar</w:t>
      </w:r>
      <w:r w:rsidR="000C6097">
        <w:rPr>
          <w:rFonts w:cs="Times New Roman"/>
        </w:rPr>
        <w:t>on</w:t>
      </w:r>
      <w:r w:rsidRPr="002E5EB4">
        <w:rPr>
          <w:rFonts w:cs="Times New Roman"/>
        </w:rPr>
        <w:t xml:space="preserve"> </w:t>
      </w:r>
      <w:r w:rsidR="000C6097">
        <w:rPr>
          <w:rFonts w:cs="Times New Roman"/>
        </w:rPr>
        <w:t xml:space="preserve">un </w:t>
      </w:r>
      <w:r w:rsidRPr="002E5EB4">
        <w:rPr>
          <w:rFonts w:cs="Times New Roman"/>
        </w:rPr>
        <w:t>préstamo neto de Q2,751.4 millones, al igual que los gobiernos locales por Q3</w:t>
      </w:r>
      <w:r w:rsidR="00D145B4" w:rsidRPr="002E5EB4">
        <w:rPr>
          <w:rFonts w:cs="Times New Roman"/>
        </w:rPr>
        <w:t>64</w:t>
      </w:r>
      <w:r w:rsidRPr="002E5EB4">
        <w:rPr>
          <w:rFonts w:cs="Times New Roman"/>
        </w:rPr>
        <w:t>.</w:t>
      </w:r>
      <w:r w:rsidR="00D145B4" w:rsidRPr="002E5EB4">
        <w:rPr>
          <w:rFonts w:cs="Times New Roman"/>
        </w:rPr>
        <w:t>2</w:t>
      </w:r>
      <w:r w:rsidRPr="002E5EB4">
        <w:rPr>
          <w:rFonts w:cs="Times New Roman"/>
        </w:rPr>
        <w:t xml:space="preserve"> millones, en el periodo de análisis.</w:t>
      </w:r>
    </w:p>
    <w:p w14:paraId="653162DB" w14:textId="7590BDEA" w:rsidR="004911A4" w:rsidRPr="002E5EB4" w:rsidRDefault="00F01768" w:rsidP="00EA2BD7">
      <w:pPr>
        <w:rPr>
          <w:rFonts w:cs="Times New Roman"/>
          <w:b/>
          <w:sz w:val="22"/>
          <w:szCs w:val="22"/>
          <w:lang w:val="es-MX"/>
        </w:rPr>
      </w:pPr>
      <w:r w:rsidRPr="002E5EB4">
        <w:rPr>
          <w:rFonts w:eastAsiaTheme="majorEastAsia"/>
          <w:noProof/>
          <w:lang w:eastAsia="es-GT"/>
        </w:rPr>
        <w:drawing>
          <wp:inline distT="0" distB="0" distL="0" distR="0" wp14:anchorId="622FD480" wp14:editId="52DE3F4E">
            <wp:extent cx="5899785" cy="1953491"/>
            <wp:effectExtent l="57150" t="0" r="100965" b="27940"/>
            <wp:docPr id="1805976380" name="Diagrama 18059763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4911A4" w:rsidRPr="002E5EB4">
        <w:rPr>
          <w:rFonts w:cs="Times New Roman"/>
          <w:b/>
          <w:sz w:val="22"/>
          <w:szCs w:val="22"/>
          <w:lang w:val="es-MX"/>
        </w:rPr>
        <w:br w:type="page"/>
      </w:r>
    </w:p>
    <w:p w14:paraId="020DDCB3" w14:textId="022D16C6" w:rsidR="00264A75" w:rsidRPr="002E5EB4" w:rsidRDefault="00264A75" w:rsidP="00522D73">
      <w:pPr>
        <w:pStyle w:val="Sinespaciado"/>
        <w:spacing w:before="0"/>
        <w:jc w:val="center"/>
        <w:rPr>
          <w:rFonts w:ascii="Times New Roman" w:hAnsi="Times New Roman" w:cs="Times New Roman"/>
          <w:b/>
          <w:bCs/>
          <w:sz w:val="22"/>
          <w:szCs w:val="22"/>
          <w:lang w:val="es-MX"/>
        </w:rPr>
      </w:pPr>
      <w:r w:rsidRPr="002E5EB4">
        <w:rPr>
          <w:rFonts w:ascii="Times New Roman" w:hAnsi="Times New Roman" w:cs="Times New Roman"/>
          <w:b/>
          <w:bCs/>
          <w:sz w:val="22"/>
          <w:szCs w:val="22"/>
          <w:lang w:val="es-MX"/>
        </w:rPr>
        <w:lastRenderedPageBreak/>
        <w:t xml:space="preserve">Estado de </w:t>
      </w:r>
      <w:r w:rsidR="00697544" w:rsidRPr="002E5EB4">
        <w:rPr>
          <w:rFonts w:ascii="Times New Roman" w:hAnsi="Times New Roman" w:cs="Times New Roman"/>
          <w:b/>
          <w:bCs/>
          <w:sz w:val="22"/>
          <w:szCs w:val="22"/>
          <w:lang w:val="es-MX"/>
        </w:rPr>
        <w:t>O</w:t>
      </w:r>
      <w:r w:rsidRPr="002E5EB4">
        <w:rPr>
          <w:rFonts w:ascii="Times New Roman" w:hAnsi="Times New Roman" w:cs="Times New Roman"/>
          <w:b/>
          <w:bCs/>
          <w:sz w:val="22"/>
          <w:szCs w:val="22"/>
          <w:lang w:val="es-MX"/>
        </w:rPr>
        <w:t>peraciones</w:t>
      </w:r>
      <w:r w:rsidR="007105EE" w:rsidRPr="002E5EB4">
        <w:rPr>
          <w:rFonts w:ascii="Times New Roman" w:hAnsi="Times New Roman" w:cs="Times New Roman"/>
          <w:b/>
          <w:bCs/>
          <w:sz w:val="22"/>
          <w:szCs w:val="22"/>
          <w:lang w:val="es-MX"/>
        </w:rPr>
        <w:t xml:space="preserve"> </w:t>
      </w:r>
      <w:r w:rsidRPr="002E5EB4">
        <w:rPr>
          <w:rFonts w:ascii="Times New Roman" w:hAnsi="Times New Roman" w:cs="Times New Roman"/>
          <w:b/>
          <w:bCs/>
          <w:sz w:val="22"/>
          <w:szCs w:val="22"/>
          <w:lang w:val="es-MX"/>
        </w:rPr>
        <w:t>del Gobierno</w:t>
      </w:r>
      <w:r w:rsidR="00F22E50" w:rsidRPr="002E5EB4">
        <w:rPr>
          <w:rFonts w:ascii="Times New Roman" w:hAnsi="Times New Roman" w:cs="Times New Roman"/>
          <w:b/>
          <w:bCs/>
          <w:sz w:val="22"/>
          <w:szCs w:val="22"/>
          <w:lang w:val="es-MX"/>
        </w:rPr>
        <w:t xml:space="preserve"> General</w:t>
      </w:r>
    </w:p>
    <w:p w14:paraId="68D87BB8" w14:textId="54012762" w:rsidR="007105EE" w:rsidRPr="002E5EB4" w:rsidRDefault="007105EE" w:rsidP="00522D73">
      <w:pPr>
        <w:pStyle w:val="Sinespaciado"/>
        <w:spacing w:before="0"/>
        <w:jc w:val="center"/>
        <w:rPr>
          <w:rFonts w:ascii="Times New Roman" w:hAnsi="Times New Roman" w:cs="Times New Roman"/>
          <w:b/>
          <w:bCs/>
          <w:sz w:val="22"/>
          <w:szCs w:val="22"/>
          <w:lang w:val="es-MX"/>
        </w:rPr>
      </w:pPr>
      <w:r w:rsidRPr="002E5EB4">
        <w:rPr>
          <w:rFonts w:ascii="Times New Roman" w:hAnsi="Times New Roman" w:cs="Times New Roman"/>
          <w:b/>
          <w:bCs/>
          <w:sz w:val="22"/>
          <w:szCs w:val="22"/>
          <w:lang w:val="es-MX"/>
        </w:rPr>
        <w:t xml:space="preserve">Cifras acumuladas a </w:t>
      </w:r>
      <w:r w:rsidR="00056B9D" w:rsidRPr="002E5EB4">
        <w:rPr>
          <w:rFonts w:ascii="Times New Roman" w:hAnsi="Times New Roman" w:cs="Times New Roman"/>
          <w:b/>
          <w:bCs/>
          <w:sz w:val="22"/>
          <w:szCs w:val="22"/>
          <w:lang w:val="es-MX"/>
        </w:rPr>
        <w:t xml:space="preserve">septiembre </w:t>
      </w:r>
      <w:r w:rsidR="0040363B" w:rsidRPr="002E5EB4">
        <w:rPr>
          <w:rFonts w:ascii="Times New Roman" w:hAnsi="Times New Roman" w:cs="Times New Roman"/>
          <w:b/>
          <w:bCs/>
          <w:sz w:val="22"/>
          <w:szCs w:val="22"/>
          <w:lang w:val="es-MX"/>
        </w:rPr>
        <w:t>de cada año</w:t>
      </w:r>
      <w:r w:rsidRPr="002E5EB4">
        <w:rPr>
          <w:rFonts w:ascii="Times New Roman" w:hAnsi="Times New Roman" w:cs="Times New Roman"/>
          <w:b/>
          <w:bCs/>
          <w:sz w:val="22"/>
          <w:szCs w:val="22"/>
          <w:lang w:val="es-MX"/>
        </w:rPr>
        <w:t>*</w:t>
      </w:r>
    </w:p>
    <w:p w14:paraId="3793E3FA" w14:textId="402859EF" w:rsidR="00A366A0" w:rsidRPr="002E5EB4" w:rsidRDefault="00697544" w:rsidP="00522D73">
      <w:pPr>
        <w:pStyle w:val="Sinespaciado"/>
        <w:spacing w:before="0"/>
        <w:jc w:val="center"/>
        <w:rPr>
          <w:rFonts w:ascii="Times New Roman" w:hAnsi="Times New Roman" w:cs="Times New Roman"/>
          <w:sz w:val="22"/>
          <w:szCs w:val="22"/>
          <w:lang w:val="es-MX"/>
        </w:rPr>
      </w:pPr>
      <w:r w:rsidRPr="002E5EB4">
        <w:rPr>
          <w:rFonts w:ascii="Times New Roman" w:hAnsi="Times New Roman" w:cs="Times New Roman"/>
          <w:sz w:val="22"/>
          <w:szCs w:val="22"/>
          <w:lang w:val="es-MX"/>
        </w:rPr>
        <w:t>En millones de Quetzales</w:t>
      </w:r>
      <w:r w:rsidR="00414C97" w:rsidRPr="002E5EB4">
        <w:rPr>
          <w:rFonts w:ascii="Times New Roman" w:hAnsi="Times New Roman" w:cs="Times New Roman"/>
          <w:sz w:val="22"/>
          <w:szCs w:val="22"/>
          <w:lang w:val="es-MX"/>
        </w:rPr>
        <w:t xml:space="preserve"> y</w:t>
      </w:r>
      <w:r w:rsidR="0090006B" w:rsidRPr="002E5EB4">
        <w:rPr>
          <w:rFonts w:ascii="Times New Roman" w:hAnsi="Times New Roman" w:cs="Times New Roman"/>
          <w:sz w:val="22"/>
          <w:szCs w:val="22"/>
          <w:lang w:val="es-MX"/>
        </w:rPr>
        <w:t xml:space="preserve"> </w:t>
      </w:r>
      <w:r w:rsidR="00414C97" w:rsidRPr="002E5EB4">
        <w:rPr>
          <w:rFonts w:ascii="Times New Roman" w:hAnsi="Times New Roman" w:cs="Times New Roman"/>
          <w:sz w:val="22"/>
          <w:szCs w:val="22"/>
          <w:lang w:val="es-MX"/>
        </w:rPr>
        <w:t>Porcentajes</w:t>
      </w:r>
    </w:p>
    <w:p w14:paraId="05115692" w14:textId="77777777" w:rsidR="005F785D" w:rsidRPr="002E5EB4" w:rsidRDefault="005F785D" w:rsidP="00522D73">
      <w:pPr>
        <w:pStyle w:val="Sinespaciado"/>
        <w:spacing w:before="0"/>
        <w:jc w:val="center"/>
        <w:rPr>
          <w:rFonts w:ascii="Times New Roman" w:hAnsi="Times New Roman" w:cs="Times New Roman"/>
          <w:sz w:val="22"/>
          <w:szCs w:val="22"/>
          <w:lang w:val="es-MX"/>
        </w:rPr>
      </w:pPr>
    </w:p>
    <w:tbl>
      <w:tblPr>
        <w:tblW w:w="6706" w:type="dxa"/>
        <w:jc w:val="center"/>
        <w:tblLayout w:type="fixed"/>
        <w:tblCellMar>
          <w:left w:w="70" w:type="dxa"/>
          <w:right w:w="70" w:type="dxa"/>
        </w:tblCellMar>
        <w:tblLook w:val="04A0" w:firstRow="1" w:lastRow="0" w:firstColumn="1" w:lastColumn="0" w:noHBand="0" w:noVBand="1"/>
      </w:tblPr>
      <w:tblGrid>
        <w:gridCol w:w="3172"/>
        <w:gridCol w:w="862"/>
        <w:gridCol w:w="864"/>
        <w:gridCol w:w="862"/>
        <w:gridCol w:w="946"/>
      </w:tblGrid>
      <w:tr w:rsidR="008B3F1D" w:rsidRPr="002E5EB4" w14:paraId="47758F5A" w14:textId="77777777" w:rsidTr="00520862">
        <w:trPr>
          <w:trHeight w:val="262"/>
          <w:jc w:val="center"/>
        </w:trPr>
        <w:tc>
          <w:tcPr>
            <w:tcW w:w="3172" w:type="dxa"/>
            <w:vMerge w:val="restart"/>
            <w:tcBorders>
              <w:top w:val="single" w:sz="8" w:space="0" w:color="auto"/>
              <w:left w:val="single" w:sz="8" w:space="0" w:color="auto"/>
              <w:bottom w:val="single" w:sz="8" w:space="0" w:color="000000"/>
              <w:right w:val="nil"/>
            </w:tcBorders>
            <w:shd w:val="clear" w:color="000000" w:fill="44546A"/>
            <w:noWrap/>
            <w:vAlign w:val="center"/>
            <w:hideMark/>
          </w:tcPr>
          <w:p w14:paraId="776388F3" w14:textId="77777777" w:rsidR="008B3F1D" w:rsidRPr="002E5EB4" w:rsidRDefault="008B3F1D" w:rsidP="00355337">
            <w:pPr>
              <w:spacing w:before="0" w:after="0"/>
              <w:jc w:val="center"/>
              <w:rPr>
                <w:rFonts w:eastAsia="Times New Roman" w:cs="Times New Roman"/>
                <w:b/>
                <w:bCs/>
                <w:color w:val="FFFFFF"/>
                <w:sz w:val="18"/>
                <w:szCs w:val="18"/>
                <w:lang w:eastAsia="es-GT"/>
              </w:rPr>
            </w:pPr>
            <w:r w:rsidRPr="002E5EB4">
              <w:rPr>
                <w:rFonts w:eastAsia="Times New Roman" w:cs="Times New Roman"/>
                <w:b/>
                <w:bCs/>
                <w:color w:val="FFFFFF"/>
                <w:sz w:val="18"/>
                <w:szCs w:val="18"/>
                <w:lang w:eastAsia="es-GT"/>
              </w:rPr>
              <w:t>Descripción</w:t>
            </w:r>
          </w:p>
        </w:tc>
        <w:tc>
          <w:tcPr>
            <w:tcW w:w="1726" w:type="dxa"/>
            <w:gridSpan w:val="2"/>
            <w:tcBorders>
              <w:top w:val="single" w:sz="8" w:space="0" w:color="auto"/>
              <w:left w:val="single" w:sz="8" w:space="0" w:color="auto"/>
              <w:bottom w:val="single" w:sz="8" w:space="0" w:color="000000"/>
              <w:right w:val="single" w:sz="8" w:space="0" w:color="auto"/>
            </w:tcBorders>
            <w:shd w:val="clear" w:color="000000" w:fill="44546A"/>
            <w:vAlign w:val="center"/>
            <w:hideMark/>
          </w:tcPr>
          <w:p w14:paraId="4089CE95" w14:textId="77777777" w:rsidR="008B3F1D" w:rsidRPr="002E5EB4" w:rsidRDefault="008B3F1D" w:rsidP="00355337">
            <w:pPr>
              <w:spacing w:before="0" w:after="0"/>
              <w:jc w:val="center"/>
              <w:rPr>
                <w:rFonts w:eastAsia="Times New Roman" w:cs="Times New Roman"/>
                <w:b/>
                <w:bCs/>
                <w:color w:val="FFFFFF"/>
                <w:sz w:val="18"/>
                <w:szCs w:val="18"/>
                <w:lang w:eastAsia="es-GT"/>
              </w:rPr>
            </w:pPr>
            <w:r w:rsidRPr="002E5EB4">
              <w:rPr>
                <w:rFonts w:eastAsia="Times New Roman" w:cs="Times New Roman"/>
                <w:b/>
                <w:bCs/>
                <w:color w:val="FFFFFF"/>
                <w:sz w:val="18"/>
                <w:szCs w:val="18"/>
                <w:lang w:eastAsia="es-GT"/>
              </w:rPr>
              <w:t>En millones de Q</w:t>
            </w:r>
          </w:p>
        </w:tc>
        <w:tc>
          <w:tcPr>
            <w:tcW w:w="1808" w:type="dxa"/>
            <w:gridSpan w:val="2"/>
            <w:tcBorders>
              <w:top w:val="single" w:sz="8" w:space="0" w:color="auto"/>
              <w:left w:val="nil"/>
              <w:bottom w:val="single" w:sz="8" w:space="0" w:color="auto"/>
              <w:right w:val="single" w:sz="8" w:space="0" w:color="000000"/>
            </w:tcBorders>
            <w:shd w:val="clear" w:color="000000" w:fill="44546A"/>
            <w:vAlign w:val="center"/>
            <w:hideMark/>
          </w:tcPr>
          <w:p w14:paraId="01C71129" w14:textId="77777777" w:rsidR="008B3F1D" w:rsidRPr="002E5EB4" w:rsidRDefault="008B3F1D" w:rsidP="00355337">
            <w:pPr>
              <w:spacing w:before="0" w:after="0"/>
              <w:jc w:val="center"/>
              <w:rPr>
                <w:rFonts w:eastAsia="Times New Roman" w:cs="Times New Roman"/>
                <w:b/>
                <w:bCs/>
                <w:color w:val="FFFFFF"/>
                <w:sz w:val="18"/>
                <w:szCs w:val="18"/>
                <w:lang w:eastAsia="es-GT"/>
              </w:rPr>
            </w:pPr>
            <w:r w:rsidRPr="002E5EB4">
              <w:rPr>
                <w:rFonts w:eastAsia="Times New Roman" w:cs="Times New Roman"/>
                <w:b/>
                <w:bCs/>
                <w:color w:val="FFFFFF"/>
                <w:sz w:val="18"/>
                <w:szCs w:val="18"/>
                <w:lang w:eastAsia="es-GT"/>
              </w:rPr>
              <w:t>Variación Interanual</w:t>
            </w:r>
          </w:p>
        </w:tc>
      </w:tr>
      <w:tr w:rsidR="008B3F1D" w:rsidRPr="002E5EB4" w14:paraId="2102BB66" w14:textId="77777777" w:rsidTr="00520862">
        <w:trPr>
          <w:trHeight w:val="262"/>
          <w:jc w:val="center"/>
        </w:trPr>
        <w:tc>
          <w:tcPr>
            <w:tcW w:w="3172" w:type="dxa"/>
            <w:vMerge/>
            <w:tcBorders>
              <w:top w:val="single" w:sz="8" w:space="0" w:color="auto"/>
              <w:left w:val="single" w:sz="8" w:space="0" w:color="auto"/>
              <w:bottom w:val="single" w:sz="8" w:space="0" w:color="000000"/>
              <w:right w:val="nil"/>
            </w:tcBorders>
            <w:vAlign w:val="center"/>
            <w:hideMark/>
          </w:tcPr>
          <w:p w14:paraId="04094A23" w14:textId="77777777" w:rsidR="008B3F1D" w:rsidRPr="002E5EB4" w:rsidRDefault="008B3F1D" w:rsidP="00355337">
            <w:pPr>
              <w:spacing w:before="0" w:after="0"/>
              <w:jc w:val="left"/>
              <w:rPr>
                <w:rFonts w:eastAsia="Times New Roman" w:cs="Times New Roman"/>
                <w:b/>
                <w:bCs/>
                <w:color w:val="FFFFFF"/>
                <w:sz w:val="18"/>
                <w:szCs w:val="18"/>
                <w:lang w:eastAsia="es-GT"/>
              </w:rPr>
            </w:pPr>
          </w:p>
        </w:tc>
        <w:tc>
          <w:tcPr>
            <w:tcW w:w="862" w:type="dxa"/>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736DDD67" w14:textId="34728BBB" w:rsidR="008B3F1D" w:rsidRPr="002E5EB4" w:rsidRDefault="005D44B6" w:rsidP="00355337">
            <w:pPr>
              <w:spacing w:before="0" w:after="0"/>
              <w:jc w:val="center"/>
              <w:rPr>
                <w:rFonts w:eastAsia="Times New Roman" w:cs="Times New Roman"/>
                <w:b/>
                <w:bCs/>
                <w:color w:val="FFFFFF" w:themeColor="background1"/>
                <w:sz w:val="18"/>
                <w:szCs w:val="18"/>
                <w:lang w:eastAsia="es-GT"/>
              </w:rPr>
            </w:pPr>
            <w:r w:rsidRPr="002E5EB4">
              <w:rPr>
                <w:rFonts w:eastAsia="Times New Roman" w:cs="Times New Roman"/>
                <w:b/>
                <w:bCs/>
                <w:color w:val="FFFFFF" w:themeColor="background1"/>
                <w:sz w:val="18"/>
                <w:szCs w:val="18"/>
                <w:lang w:eastAsia="es-GT"/>
              </w:rPr>
              <w:t>2022</w:t>
            </w:r>
          </w:p>
        </w:tc>
        <w:tc>
          <w:tcPr>
            <w:tcW w:w="864" w:type="dxa"/>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58D3BD90" w14:textId="795335A6" w:rsidR="008B3F1D" w:rsidRPr="002E5EB4" w:rsidRDefault="008B3F1D" w:rsidP="00355337">
            <w:pPr>
              <w:spacing w:before="0" w:after="0"/>
              <w:jc w:val="center"/>
              <w:rPr>
                <w:rFonts w:eastAsia="Times New Roman" w:cs="Times New Roman"/>
                <w:b/>
                <w:bCs/>
                <w:color w:val="FFFFFF" w:themeColor="background1"/>
                <w:sz w:val="18"/>
                <w:szCs w:val="18"/>
                <w:lang w:eastAsia="es-GT"/>
              </w:rPr>
            </w:pPr>
            <w:r w:rsidRPr="002E5EB4">
              <w:rPr>
                <w:rFonts w:eastAsia="Times New Roman" w:cs="Times New Roman"/>
                <w:b/>
                <w:bCs/>
                <w:color w:val="FFFFFF" w:themeColor="background1"/>
                <w:sz w:val="18"/>
                <w:szCs w:val="18"/>
                <w:lang w:eastAsia="es-GT"/>
              </w:rPr>
              <w:t>202</w:t>
            </w:r>
            <w:r w:rsidR="005D44B6" w:rsidRPr="002E5EB4">
              <w:rPr>
                <w:rFonts w:eastAsia="Times New Roman" w:cs="Times New Roman"/>
                <w:b/>
                <w:bCs/>
                <w:color w:val="FFFFFF" w:themeColor="background1"/>
                <w:sz w:val="18"/>
                <w:szCs w:val="18"/>
                <w:lang w:eastAsia="es-GT"/>
              </w:rPr>
              <w:t>3</w:t>
            </w:r>
            <w:r w:rsidRPr="002E5EB4">
              <w:rPr>
                <w:rFonts w:eastAsia="Times New Roman" w:cs="Times New Roman"/>
                <w:b/>
                <w:bCs/>
                <w:color w:val="FFFFFF" w:themeColor="background1"/>
                <w:sz w:val="18"/>
                <w:szCs w:val="18"/>
                <w:lang w:eastAsia="es-GT"/>
              </w:rPr>
              <w:t>*</w:t>
            </w:r>
          </w:p>
        </w:tc>
        <w:tc>
          <w:tcPr>
            <w:tcW w:w="862" w:type="dxa"/>
            <w:tcBorders>
              <w:top w:val="nil"/>
              <w:left w:val="nil"/>
              <w:bottom w:val="single" w:sz="8" w:space="0" w:color="auto"/>
              <w:right w:val="single" w:sz="8" w:space="0" w:color="auto"/>
            </w:tcBorders>
            <w:shd w:val="clear" w:color="auto" w:fill="808080" w:themeFill="background1" w:themeFillShade="80"/>
            <w:vAlign w:val="center"/>
            <w:hideMark/>
          </w:tcPr>
          <w:p w14:paraId="4E1C34F9" w14:textId="77777777" w:rsidR="008B3F1D" w:rsidRPr="002E5EB4" w:rsidRDefault="008B3F1D" w:rsidP="00355337">
            <w:pPr>
              <w:spacing w:before="0" w:after="0"/>
              <w:jc w:val="center"/>
              <w:rPr>
                <w:rFonts w:eastAsia="Times New Roman" w:cs="Times New Roman"/>
                <w:b/>
                <w:bCs/>
                <w:color w:val="FFFFFF"/>
                <w:sz w:val="18"/>
                <w:szCs w:val="18"/>
                <w:lang w:eastAsia="es-GT"/>
              </w:rPr>
            </w:pPr>
            <w:r w:rsidRPr="002E5EB4">
              <w:rPr>
                <w:rFonts w:eastAsia="Times New Roman" w:cs="Times New Roman"/>
                <w:b/>
                <w:bCs/>
                <w:color w:val="FFFFFF"/>
                <w:sz w:val="18"/>
                <w:szCs w:val="18"/>
                <w:lang w:eastAsia="es-GT"/>
              </w:rPr>
              <w:t>Absoluta</w:t>
            </w:r>
          </w:p>
        </w:tc>
        <w:tc>
          <w:tcPr>
            <w:tcW w:w="946" w:type="dxa"/>
            <w:tcBorders>
              <w:top w:val="nil"/>
              <w:left w:val="nil"/>
              <w:bottom w:val="single" w:sz="8" w:space="0" w:color="auto"/>
              <w:right w:val="single" w:sz="8" w:space="0" w:color="auto"/>
            </w:tcBorders>
            <w:shd w:val="clear" w:color="auto" w:fill="808080" w:themeFill="background1" w:themeFillShade="80"/>
            <w:vAlign w:val="center"/>
            <w:hideMark/>
          </w:tcPr>
          <w:p w14:paraId="2B29115F" w14:textId="77777777" w:rsidR="008B3F1D" w:rsidRPr="002E5EB4" w:rsidRDefault="008B3F1D" w:rsidP="00355337">
            <w:pPr>
              <w:spacing w:before="0" w:after="0"/>
              <w:jc w:val="center"/>
              <w:rPr>
                <w:rFonts w:eastAsia="Times New Roman" w:cs="Times New Roman"/>
                <w:b/>
                <w:bCs/>
                <w:color w:val="FFFFFF"/>
                <w:sz w:val="18"/>
                <w:szCs w:val="18"/>
                <w:lang w:eastAsia="es-GT"/>
              </w:rPr>
            </w:pPr>
            <w:r w:rsidRPr="002E5EB4">
              <w:rPr>
                <w:rFonts w:eastAsia="Times New Roman" w:cs="Times New Roman"/>
                <w:b/>
                <w:bCs/>
                <w:color w:val="FFFFFF"/>
                <w:sz w:val="18"/>
                <w:szCs w:val="18"/>
                <w:lang w:eastAsia="es-GT"/>
              </w:rPr>
              <w:t>Relativa</w:t>
            </w:r>
          </w:p>
        </w:tc>
      </w:tr>
      <w:tr w:rsidR="00EB772E" w:rsidRPr="002E5EB4" w14:paraId="0E4CA9CB"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0DC0CE1" w14:textId="77777777" w:rsidR="00EB772E" w:rsidRPr="002E5EB4" w:rsidRDefault="00EB772E" w:rsidP="00EB772E">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INGRESO</w:t>
            </w:r>
          </w:p>
        </w:tc>
        <w:tc>
          <w:tcPr>
            <w:tcW w:w="862" w:type="dxa"/>
            <w:tcBorders>
              <w:top w:val="nil"/>
              <w:left w:val="nil"/>
              <w:bottom w:val="nil"/>
              <w:right w:val="nil"/>
            </w:tcBorders>
            <w:shd w:val="clear" w:color="auto" w:fill="auto"/>
            <w:noWrap/>
            <w:vAlign w:val="center"/>
            <w:hideMark/>
          </w:tcPr>
          <w:p w14:paraId="14E6B888" w14:textId="74DED517"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89,344.9</w:t>
            </w:r>
          </w:p>
        </w:tc>
        <w:tc>
          <w:tcPr>
            <w:tcW w:w="864" w:type="dxa"/>
            <w:tcBorders>
              <w:top w:val="nil"/>
              <w:left w:val="nil"/>
              <w:bottom w:val="nil"/>
              <w:right w:val="nil"/>
            </w:tcBorders>
            <w:shd w:val="clear" w:color="auto" w:fill="auto"/>
            <w:noWrap/>
            <w:vAlign w:val="center"/>
            <w:hideMark/>
          </w:tcPr>
          <w:p w14:paraId="7241F400" w14:textId="1032BE3D"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98,459.3</w:t>
            </w:r>
          </w:p>
        </w:tc>
        <w:tc>
          <w:tcPr>
            <w:tcW w:w="862" w:type="dxa"/>
            <w:tcBorders>
              <w:top w:val="nil"/>
              <w:left w:val="dotDash" w:sz="4" w:space="0" w:color="auto"/>
              <w:bottom w:val="nil"/>
              <w:right w:val="nil"/>
            </w:tcBorders>
            <w:shd w:val="clear" w:color="auto" w:fill="auto"/>
            <w:noWrap/>
            <w:vAlign w:val="center"/>
            <w:hideMark/>
          </w:tcPr>
          <w:p w14:paraId="673A8AFD" w14:textId="1E807A62"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9,114.3</w:t>
            </w:r>
          </w:p>
        </w:tc>
        <w:tc>
          <w:tcPr>
            <w:tcW w:w="946" w:type="dxa"/>
            <w:tcBorders>
              <w:top w:val="nil"/>
              <w:left w:val="nil"/>
              <w:bottom w:val="nil"/>
              <w:right w:val="nil"/>
            </w:tcBorders>
            <w:shd w:val="clear" w:color="auto" w:fill="auto"/>
            <w:noWrap/>
            <w:vAlign w:val="center"/>
            <w:hideMark/>
          </w:tcPr>
          <w:p w14:paraId="4BF2EC31" w14:textId="59A91AC9"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10.2</w:t>
            </w:r>
          </w:p>
        </w:tc>
      </w:tr>
      <w:tr w:rsidR="00EB772E" w:rsidRPr="002E5EB4" w14:paraId="169FA3F4"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2E1A7A2F"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Impuestos</w:t>
            </w:r>
          </w:p>
        </w:tc>
        <w:tc>
          <w:tcPr>
            <w:tcW w:w="862" w:type="dxa"/>
            <w:tcBorders>
              <w:top w:val="nil"/>
              <w:left w:val="nil"/>
              <w:bottom w:val="nil"/>
              <w:right w:val="nil"/>
            </w:tcBorders>
            <w:shd w:val="clear" w:color="auto" w:fill="auto"/>
            <w:noWrap/>
            <w:vAlign w:val="center"/>
            <w:hideMark/>
          </w:tcPr>
          <w:p w14:paraId="48CE2D36" w14:textId="02EF794A"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67,806.6</w:t>
            </w:r>
          </w:p>
        </w:tc>
        <w:tc>
          <w:tcPr>
            <w:tcW w:w="864" w:type="dxa"/>
            <w:tcBorders>
              <w:top w:val="nil"/>
              <w:left w:val="nil"/>
              <w:bottom w:val="nil"/>
              <w:right w:val="nil"/>
            </w:tcBorders>
            <w:shd w:val="clear" w:color="auto" w:fill="auto"/>
            <w:noWrap/>
            <w:vAlign w:val="center"/>
            <w:hideMark/>
          </w:tcPr>
          <w:p w14:paraId="28A9416E" w14:textId="5D3E10C6"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73,380.2</w:t>
            </w:r>
          </w:p>
        </w:tc>
        <w:tc>
          <w:tcPr>
            <w:tcW w:w="862" w:type="dxa"/>
            <w:tcBorders>
              <w:top w:val="nil"/>
              <w:left w:val="dotDash" w:sz="4" w:space="0" w:color="auto"/>
              <w:bottom w:val="nil"/>
              <w:right w:val="nil"/>
            </w:tcBorders>
            <w:shd w:val="clear" w:color="auto" w:fill="auto"/>
            <w:noWrap/>
            <w:vAlign w:val="center"/>
            <w:hideMark/>
          </w:tcPr>
          <w:p w14:paraId="003FDBCD" w14:textId="43E79594"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5,573.6</w:t>
            </w:r>
          </w:p>
        </w:tc>
        <w:tc>
          <w:tcPr>
            <w:tcW w:w="946" w:type="dxa"/>
            <w:tcBorders>
              <w:top w:val="nil"/>
              <w:left w:val="nil"/>
              <w:bottom w:val="nil"/>
              <w:right w:val="nil"/>
            </w:tcBorders>
            <w:shd w:val="clear" w:color="auto" w:fill="auto"/>
            <w:noWrap/>
            <w:vAlign w:val="center"/>
            <w:hideMark/>
          </w:tcPr>
          <w:p w14:paraId="2CDFFBD9" w14:textId="1FE1C6CB"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8.2</w:t>
            </w:r>
          </w:p>
        </w:tc>
      </w:tr>
      <w:tr w:rsidR="00EB772E" w:rsidRPr="002E5EB4" w14:paraId="29FD1C8F"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5617786"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Contribuciones sociales </w:t>
            </w:r>
          </w:p>
        </w:tc>
        <w:tc>
          <w:tcPr>
            <w:tcW w:w="862" w:type="dxa"/>
            <w:tcBorders>
              <w:top w:val="nil"/>
              <w:left w:val="nil"/>
              <w:bottom w:val="nil"/>
              <w:right w:val="nil"/>
            </w:tcBorders>
            <w:shd w:val="clear" w:color="auto" w:fill="auto"/>
            <w:noWrap/>
            <w:vAlign w:val="center"/>
            <w:hideMark/>
          </w:tcPr>
          <w:p w14:paraId="073305C8" w14:textId="51FA134F"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14,602.7</w:t>
            </w:r>
          </w:p>
        </w:tc>
        <w:tc>
          <w:tcPr>
            <w:tcW w:w="864" w:type="dxa"/>
            <w:tcBorders>
              <w:top w:val="nil"/>
              <w:left w:val="nil"/>
              <w:bottom w:val="nil"/>
              <w:right w:val="nil"/>
            </w:tcBorders>
            <w:shd w:val="clear" w:color="auto" w:fill="auto"/>
            <w:noWrap/>
            <w:vAlign w:val="center"/>
            <w:hideMark/>
          </w:tcPr>
          <w:p w14:paraId="4B7182AD" w14:textId="492608F5"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16,793.0</w:t>
            </w:r>
          </w:p>
        </w:tc>
        <w:tc>
          <w:tcPr>
            <w:tcW w:w="862" w:type="dxa"/>
            <w:tcBorders>
              <w:top w:val="nil"/>
              <w:left w:val="dotDash" w:sz="4" w:space="0" w:color="auto"/>
              <w:bottom w:val="nil"/>
              <w:right w:val="nil"/>
            </w:tcBorders>
            <w:shd w:val="clear" w:color="auto" w:fill="auto"/>
            <w:noWrap/>
            <w:vAlign w:val="center"/>
            <w:hideMark/>
          </w:tcPr>
          <w:p w14:paraId="5CAF0974" w14:textId="53445448"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2,190.3</w:t>
            </w:r>
          </w:p>
        </w:tc>
        <w:tc>
          <w:tcPr>
            <w:tcW w:w="946" w:type="dxa"/>
            <w:tcBorders>
              <w:top w:val="nil"/>
              <w:left w:val="nil"/>
              <w:bottom w:val="nil"/>
              <w:right w:val="nil"/>
            </w:tcBorders>
            <w:shd w:val="clear" w:color="auto" w:fill="auto"/>
            <w:noWrap/>
            <w:vAlign w:val="center"/>
            <w:hideMark/>
          </w:tcPr>
          <w:p w14:paraId="420A827A" w14:textId="7215A548"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15.0</w:t>
            </w:r>
          </w:p>
        </w:tc>
      </w:tr>
      <w:tr w:rsidR="00EB772E" w:rsidRPr="002E5EB4" w14:paraId="2D2448CA"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6E3D6BFE"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Donaciones</w:t>
            </w:r>
          </w:p>
        </w:tc>
        <w:tc>
          <w:tcPr>
            <w:tcW w:w="862" w:type="dxa"/>
            <w:tcBorders>
              <w:top w:val="nil"/>
              <w:left w:val="nil"/>
              <w:bottom w:val="nil"/>
              <w:right w:val="nil"/>
            </w:tcBorders>
            <w:shd w:val="clear" w:color="auto" w:fill="auto"/>
            <w:noWrap/>
            <w:vAlign w:val="center"/>
            <w:hideMark/>
          </w:tcPr>
          <w:p w14:paraId="4564EB81" w14:textId="23178F58"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130.5</w:t>
            </w:r>
          </w:p>
        </w:tc>
        <w:tc>
          <w:tcPr>
            <w:tcW w:w="864" w:type="dxa"/>
            <w:tcBorders>
              <w:top w:val="nil"/>
              <w:left w:val="nil"/>
              <w:bottom w:val="nil"/>
              <w:right w:val="nil"/>
            </w:tcBorders>
            <w:shd w:val="clear" w:color="auto" w:fill="auto"/>
            <w:noWrap/>
            <w:vAlign w:val="center"/>
            <w:hideMark/>
          </w:tcPr>
          <w:p w14:paraId="4BAB93FF" w14:textId="70F8A62D"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82.4</w:t>
            </w:r>
          </w:p>
        </w:tc>
        <w:tc>
          <w:tcPr>
            <w:tcW w:w="862" w:type="dxa"/>
            <w:tcBorders>
              <w:top w:val="nil"/>
              <w:left w:val="dotDash" w:sz="4" w:space="0" w:color="auto"/>
              <w:bottom w:val="nil"/>
              <w:right w:val="nil"/>
            </w:tcBorders>
            <w:shd w:val="clear" w:color="auto" w:fill="auto"/>
            <w:noWrap/>
            <w:vAlign w:val="center"/>
            <w:hideMark/>
          </w:tcPr>
          <w:p w14:paraId="10597934" w14:textId="7B595C49"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-48.1</w:t>
            </w:r>
          </w:p>
        </w:tc>
        <w:tc>
          <w:tcPr>
            <w:tcW w:w="946" w:type="dxa"/>
            <w:tcBorders>
              <w:top w:val="nil"/>
              <w:left w:val="nil"/>
              <w:bottom w:val="nil"/>
              <w:right w:val="nil"/>
            </w:tcBorders>
            <w:shd w:val="clear" w:color="auto" w:fill="auto"/>
            <w:noWrap/>
            <w:vAlign w:val="center"/>
            <w:hideMark/>
          </w:tcPr>
          <w:p w14:paraId="538B7204" w14:textId="74CCAB54"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-36.8</w:t>
            </w:r>
          </w:p>
        </w:tc>
      </w:tr>
      <w:tr w:rsidR="00EB772E" w:rsidRPr="002E5EB4" w14:paraId="58C4623A"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64092BCC"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Otros ingresos </w:t>
            </w:r>
          </w:p>
        </w:tc>
        <w:tc>
          <w:tcPr>
            <w:tcW w:w="862" w:type="dxa"/>
            <w:tcBorders>
              <w:top w:val="nil"/>
              <w:left w:val="nil"/>
              <w:bottom w:val="nil"/>
              <w:right w:val="nil"/>
            </w:tcBorders>
            <w:shd w:val="clear" w:color="auto" w:fill="auto"/>
            <w:noWrap/>
            <w:vAlign w:val="center"/>
            <w:hideMark/>
          </w:tcPr>
          <w:p w14:paraId="4EE216B6" w14:textId="24E83750"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6,805.2</w:t>
            </w:r>
          </w:p>
        </w:tc>
        <w:tc>
          <w:tcPr>
            <w:tcW w:w="864" w:type="dxa"/>
            <w:tcBorders>
              <w:top w:val="nil"/>
              <w:left w:val="nil"/>
              <w:bottom w:val="nil"/>
              <w:right w:val="nil"/>
            </w:tcBorders>
            <w:shd w:val="clear" w:color="auto" w:fill="auto"/>
            <w:noWrap/>
            <w:vAlign w:val="center"/>
            <w:hideMark/>
          </w:tcPr>
          <w:p w14:paraId="528E29A5" w14:textId="13A0025B"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8,203.6</w:t>
            </w:r>
          </w:p>
        </w:tc>
        <w:tc>
          <w:tcPr>
            <w:tcW w:w="862" w:type="dxa"/>
            <w:tcBorders>
              <w:top w:val="nil"/>
              <w:left w:val="dotDash" w:sz="4" w:space="0" w:color="auto"/>
              <w:bottom w:val="nil"/>
              <w:right w:val="nil"/>
            </w:tcBorders>
            <w:shd w:val="clear" w:color="auto" w:fill="auto"/>
            <w:noWrap/>
            <w:vAlign w:val="center"/>
            <w:hideMark/>
          </w:tcPr>
          <w:p w14:paraId="32E07D81" w14:textId="66A311A5"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1,398.5</w:t>
            </w:r>
          </w:p>
        </w:tc>
        <w:tc>
          <w:tcPr>
            <w:tcW w:w="946" w:type="dxa"/>
            <w:tcBorders>
              <w:top w:val="nil"/>
              <w:left w:val="nil"/>
              <w:bottom w:val="nil"/>
              <w:right w:val="nil"/>
            </w:tcBorders>
            <w:shd w:val="clear" w:color="auto" w:fill="auto"/>
            <w:noWrap/>
            <w:vAlign w:val="center"/>
            <w:hideMark/>
          </w:tcPr>
          <w:p w14:paraId="693B7A2E" w14:textId="3585FB54"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20.6</w:t>
            </w:r>
          </w:p>
        </w:tc>
      </w:tr>
      <w:tr w:rsidR="00EB772E" w:rsidRPr="002E5EB4" w14:paraId="4789D559"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0F91D6C" w14:textId="77777777" w:rsidR="00EB772E" w:rsidRPr="002E5EB4" w:rsidRDefault="00EB772E" w:rsidP="00EB772E">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GASTO</w:t>
            </w:r>
          </w:p>
        </w:tc>
        <w:tc>
          <w:tcPr>
            <w:tcW w:w="862" w:type="dxa"/>
            <w:tcBorders>
              <w:top w:val="nil"/>
              <w:left w:val="nil"/>
              <w:bottom w:val="nil"/>
              <w:right w:val="nil"/>
            </w:tcBorders>
            <w:shd w:val="clear" w:color="auto" w:fill="auto"/>
            <w:noWrap/>
            <w:vAlign w:val="center"/>
            <w:hideMark/>
          </w:tcPr>
          <w:p w14:paraId="6FEA5D3F" w14:textId="6CC19706"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77,451.3</w:t>
            </w:r>
          </w:p>
        </w:tc>
        <w:tc>
          <w:tcPr>
            <w:tcW w:w="864" w:type="dxa"/>
            <w:tcBorders>
              <w:top w:val="nil"/>
              <w:left w:val="nil"/>
              <w:bottom w:val="nil"/>
              <w:right w:val="nil"/>
            </w:tcBorders>
            <w:shd w:val="clear" w:color="auto" w:fill="auto"/>
            <w:noWrap/>
            <w:vAlign w:val="center"/>
            <w:hideMark/>
          </w:tcPr>
          <w:p w14:paraId="0D082FC1" w14:textId="78AF9F61"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87,647.2</w:t>
            </w:r>
          </w:p>
        </w:tc>
        <w:tc>
          <w:tcPr>
            <w:tcW w:w="862" w:type="dxa"/>
            <w:tcBorders>
              <w:top w:val="nil"/>
              <w:left w:val="dotDash" w:sz="4" w:space="0" w:color="auto"/>
              <w:bottom w:val="nil"/>
              <w:right w:val="nil"/>
            </w:tcBorders>
            <w:shd w:val="clear" w:color="auto" w:fill="auto"/>
            <w:noWrap/>
            <w:vAlign w:val="center"/>
            <w:hideMark/>
          </w:tcPr>
          <w:p w14:paraId="0E1CB37E" w14:textId="15E67AEF"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10,195.9</w:t>
            </w:r>
          </w:p>
        </w:tc>
        <w:tc>
          <w:tcPr>
            <w:tcW w:w="946" w:type="dxa"/>
            <w:tcBorders>
              <w:top w:val="nil"/>
              <w:left w:val="nil"/>
              <w:bottom w:val="nil"/>
              <w:right w:val="nil"/>
            </w:tcBorders>
            <w:shd w:val="clear" w:color="auto" w:fill="auto"/>
            <w:noWrap/>
            <w:vAlign w:val="center"/>
            <w:hideMark/>
          </w:tcPr>
          <w:p w14:paraId="7E1E9AF9" w14:textId="139988A2"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13.2</w:t>
            </w:r>
          </w:p>
        </w:tc>
      </w:tr>
      <w:tr w:rsidR="00EB772E" w:rsidRPr="002E5EB4" w14:paraId="16CDE168"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DCA9B84"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Remuneración a los empleados </w:t>
            </w:r>
          </w:p>
        </w:tc>
        <w:tc>
          <w:tcPr>
            <w:tcW w:w="862" w:type="dxa"/>
            <w:tcBorders>
              <w:top w:val="nil"/>
              <w:left w:val="nil"/>
              <w:bottom w:val="nil"/>
              <w:right w:val="nil"/>
            </w:tcBorders>
            <w:shd w:val="clear" w:color="auto" w:fill="auto"/>
            <w:noWrap/>
            <w:vAlign w:val="center"/>
            <w:hideMark/>
          </w:tcPr>
          <w:p w14:paraId="30BCC4CF" w14:textId="2B2D4FF4"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36,224.6</w:t>
            </w:r>
          </w:p>
        </w:tc>
        <w:tc>
          <w:tcPr>
            <w:tcW w:w="864" w:type="dxa"/>
            <w:tcBorders>
              <w:top w:val="nil"/>
              <w:left w:val="nil"/>
              <w:bottom w:val="nil"/>
              <w:right w:val="nil"/>
            </w:tcBorders>
            <w:shd w:val="clear" w:color="auto" w:fill="auto"/>
            <w:noWrap/>
            <w:vAlign w:val="center"/>
            <w:hideMark/>
          </w:tcPr>
          <w:p w14:paraId="54D71955" w14:textId="1BCBF3D5"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40,593.7</w:t>
            </w:r>
          </w:p>
        </w:tc>
        <w:tc>
          <w:tcPr>
            <w:tcW w:w="862" w:type="dxa"/>
            <w:tcBorders>
              <w:top w:val="nil"/>
              <w:left w:val="dotDash" w:sz="4" w:space="0" w:color="auto"/>
              <w:bottom w:val="nil"/>
              <w:right w:val="nil"/>
            </w:tcBorders>
            <w:shd w:val="clear" w:color="auto" w:fill="auto"/>
            <w:noWrap/>
            <w:vAlign w:val="center"/>
            <w:hideMark/>
          </w:tcPr>
          <w:p w14:paraId="5AF3AD71" w14:textId="50568694"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4,369.1</w:t>
            </w:r>
          </w:p>
        </w:tc>
        <w:tc>
          <w:tcPr>
            <w:tcW w:w="946" w:type="dxa"/>
            <w:tcBorders>
              <w:top w:val="nil"/>
              <w:left w:val="nil"/>
              <w:bottom w:val="nil"/>
              <w:right w:val="nil"/>
            </w:tcBorders>
            <w:shd w:val="clear" w:color="auto" w:fill="auto"/>
            <w:noWrap/>
            <w:vAlign w:val="center"/>
            <w:hideMark/>
          </w:tcPr>
          <w:p w14:paraId="5151A08A" w14:textId="192C4854"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12.1</w:t>
            </w:r>
          </w:p>
        </w:tc>
      </w:tr>
      <w:tr w:rsidR="00EB772E" w:rsidRPr="002E5EB4" w14:paraId="35401EDE"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734D1158"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Uso de bienes y servicios  </w:t>
            </w:r>
          </w:p>
        </w:tc>
        <w:tc>
          <w:tcPr>
            <w:tcW w:w="862" w:type="dxa"/>
            <w:tcBorders>
              <w:top w:val="nil"/>
              <w:left w:val="nil"/>
              <w:bottom w:val="nil"/>
              <w:right w:val="nil"/>
            </w:tcBorders>
            <w:shd w:val="clear" w:color="auto" w:fill="auto"/>
            <w:noWrap/>
            <w:vAlign w:val="center"/>
            <w:hideMark/>
          </w:tcPr>
          <w:p w14:paraId="6E9F5081" w14:textId="61D726ED"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14,385.3</w:t>
            </w:r>
          </w:p>
        </w:tc>
        <w:tc>
          <w:tcPr>
            <w:tcW w:w="864" w:type="dxa"/>
            <w:tcBorders>
              <w:top w:val="nil"/>
              <w:left w:val="nil"/>
              <w:bottom w:val="nil"/>
              <w:right w:val="nil"/>
            </w:tcBorders>
            <w:shd w:val="clear" w:color="auto" w:fill="auto"/>
            <w:noWrap/>
            <w:vAlign w:val="center"/>
            <w:hideMark/>
          </w:tcPr>
          <w:p w14:paraId="70E068A9" w14:textId="2E6E5222"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18,680.2</w:t>
            </w:r>
          </w:p>
        </w:tc>
        <w:tc>
          <w:tcPr>
            <w:tcW w:w="862" w:type="dxa"/>
            <w:tcBorders>
              <w:top w:val="nil"/>
              <w:left w:val="dotDash" w:sz="4" w:space="0" w:color="auto"/>
              <w:bottom w:val="nil"/>
              <w:right w:val="nil"/>
            </w:tcBorders>
            <w:shd w:val="clear" w:color="auto" w:fill="auto"/>
            <w:noWrap/>
            <w:vAlign w:val="center"/>
            <w:hideMark/>
          </w:tcPr>
          <w:p w14:paraId="6C1C08B6" w14:textId="2F57395B"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4,294.9</w:t>
            </w:r>
          </w:p>
        </w:tc>
        <w:tc>
          <w:tcPr>
            <w:tcW w:w="946" w:type="dxa"/>
            <w:tcBorders>
              <w:top w:val="nil"/>
              <w:left w:val="nil"/>
              <w:bottom w:val="nil"/>
              <w:right w:val="nil"/>
            </w:tcBorders>
            <w:shd w:val="clear" w:color="auto" w:fill="auto"/>
            <w:noWrap/>
            <w:vAlign w:val="center"/>
            <w:hideMark/>
          </w:tcPr>
          <w:p w14:paraId="0A872EEC" w14:textId="753DCA79"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29.9</w:t>
            </w:r>
          </w:p>
        </w:tc>
      </w:tr>
      <w:tr w:rsidR="00EB772E" w:rsidRPr="002E5EB4" w14:paraId="544F99C2"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77ECE88A"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Intereses </w:t>
            </w:r>
          </w:p>
        </w:tc>
        <w:tc>
          <w:tcPr>
            <w:tcW w:w="862" w:type="dxa"/>
            <w:tcBorders>
              <w:top w:val="nil"/>
              <w:left w:val="nil"/>
              <w:bottom w:val="nil"/>
              <w:right w:val="nil"/>
            </w:tcBorders>
            <w:shd w:val="clear" w:color="auto" w:fill="auto"/>
            <w:noWrap/>
            <w:vAlign w:val="center"/>
            <w:hideMark/>
          </w:tcPr>
          <w:p w14:paraId="56A1E853" w14:textId="728D533F"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7,616.7</w:t>
            </w:r>
          </w:p>
        </w:tc>
        <w:tc>
          <w:tcPr>
            <w:tcW w:w="864" w:type="dxa"/>
            <w:tcBorders>
              <w:top w:val="nil"/>
              <w:left w:val="nil"/>
              <w:bottom w:val="nil"/>
              <w:right w:val="nil"/>
            </w:tcBorders>
            <w:shd w:val="clear" w:color="auto" w:fill="auto"/>
            <w:noWrap/>
            <w:vAlign w:val="center"/>
            <w:hideMark/>
          </w:tcPr>
          <w:p w14:paraId="1C5A8B1A" w14:textId="7AA7E29F"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8,551.4</w:t>
            </w:r>
          </w:p>
        </w:tc>
        <w:tc>
          <w:tcPr>
            <w:tcW w:w="862" w:type="dxa"/>
            <w:tcBorders>
              <w:top w:val="nil"/>
              <w:left w:val="dotDash" w:sz="4" w:space="0" w:color="auto"/>
              <w:bottom w:val="nil"/>
              <w:right w:val="nil"/>
            </w:tcBorders>
            <w:shd w:val="clear" w:color="auto" w:fill="auto"/>
            <w:noWrap/>
            <w:vAlign w:val="center"/>
            <w:hideMark/>
          </w:tcPr>
          <w:p w14:paraId="58971AD8" w14:textId="497E31DC"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934.7</w:t>
            </w:r>
          </w:p>
        </w:tc>
        <w:tc>
          <w:tcPr>
            <w:tcW w:w="946" w:type="dxa"/>
            <w:tcBorders>
              <w:top w:val="nil"/>
              <w:left w:val="nil"/>
              <w:bottom w:val="nil"/>
              <w:right w:val="nil"/>
            </w:tcBorders>
            <w:shd w:val="clear" w:color="auto" w:fill="auto"/>
            <w:noWrap/>
            <w:vAlign w:val="center"/>
            <w:hideMark/>
          </w:tcPr>
          <w:p w14:paraId="37EDA55D" w14:textId="333C25DA"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12.3</w:t>
            </w:r>
          </w:p>
        </w:tc>
      </w:tr>
      <w:tr w:rsidR="00EB772E" w:rsidRPr="002E5EB4" w14:paraId="583A874F"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CCA9BD8"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Subsidios </w:t>
            </w:r>
          </w:p>
        </w:tc>
        <w:tc>
          <w:tcPr>
            <w:tcW w:w="862" w:type="dxa"/>
            <w:tcBorders>
              <w:top w:val="nil"/>
              <w:left w:val="nil"/>
              <w:bottom w:val="nil"/>
              <w:right w:val="nil"/>
            </w:tcBorders>
            <w:shd w:val="clear" w:color="auto" w:fill="auto"/>
            <w:noWrap/>
            <w:vAlign w:val="center"/>
            <w:hideMark/>
          </w:tcPr>
          <w:p w14:paraId="53C96451" w14:textId="7738FBF3"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3,276.2</w:t>
            </w:r>
          </w:p>
        </w:tc>
        <w:tc>
          <w:tcPr>
            <w:tcW w:w="864" w:type="dxa"/>
            <w:tcBorders>
              <w:top w:val="nil"/>
              <w:left w:val="nil"/>
              <w:bottom w:val="nil"/>
              <w:right w:val="nil"/>
            </w:tcBorders>
            <w:shd w:val="clear" w:color="auto" w:fill="auto"/>
            <w:noWrap/>
            <w:vAlign w:val="center"/>
            <w:hideMark/>
          </w:tcPr>
          <w:p w14:paraId="701A4FC3" w14:textId="4296041F"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1,106.1</w:t>
            </w:r>
          </w:p>
        </w:tc>
        <w:tc>
          <w:tcPr>
            <w:tcW w:w="862" w:type="dxa"/>
            <w:tcBorders>
              <w:top w:val="nil"/>
              <w:left w:val="dotDash" w:sz="4" w:space="0" w:color="auto"/>
              <w:bottom w:val="nil"/>
              <w:right w:val="nil"/>
            </w:tcBorders>
            <w:shd w:val="clear" w:color="auto" w:fill="auto"/>
            <w:noWrap/>
            <w:vAlign w:val="center"/>
            <w:hideMark/>
          </w:tcPr>
          <w:p w14:paraId="3C72F1F6" w14:textId="0B14BFE0"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-2,170.1</w:t>
            </w:r>
          </w:p>
        </w:tc>
        <w:tc>
          <w:tcPr>
            <w:tcW w:w="946" w:type="dxa"/>
            <w:tcBorders>
              <w:top w:val="nil"/>
              <w:left w:val="nil"/>
              <w:bottom w:val="nil"/>
              <w:right w:val="nil"/>
            </w:tcBorders>
            <w:shd w:val="clear" w:color="auto" w:fill="auto"/>
            <w:noWrap/>
            <w:vAlign w:val="center"/>
            <w:hideMark/>
          </w:tcPr>
          <w:p w14:paraId="20B9499A" w14:textId="5E86862F"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-66.2</w:t>
            </w:r>
          </w:p>
        </w:tc>
      </w:tr>
      <w:tr w:rsidR="00EB772E" w:rsidRPr="002E5EB4" w14:paraId="279612A7"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5865C368"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Donaciones </w:t>
            </w:r>
          </w:p>
        </w:tc>
        <w:tc>
          <w:tcPr>
            <w:tcW w:w="862" w:type="dxa"/>
            <w:tcBorders>
              <w:top w:val="nil"/>
              <w:left w:val="nil"/>
              <w:bottom w:val="nil"/>
              <w:right w:val="nil"/>
            </w:tcBorders>
            <w:shd w:val="clear" w:color="auto" w:fill="auto"/>
            <w:noWrap/>
            <w:vAlign w:val="center"/>
            <w:hideMark/>
          </w:tcPr>
          <w:p w14:paraId="53064139" w14:textId="6B35E57E"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438.6</w:t>
            </w:r>
          </w:p>
        </w:tc>
        <w:tc>
          <w:tcPr>
            <w:tcW w:w="864" w:type="dxa"/>
            <w:tcBorders>
              <w:top w:val="nil"/>
              <w:left w:val="nil"/>
              <w:bottom w:val="nil"/>
              <w:right w:val="nil"/>
            </w:tcBorders>
            <w:shd w:val="clear" w:color="auto" w:fill="auto"/>
            <w:noWrap/>
            <w:vAlign w:val="center"/>
            <w:hideMark/>
          </w:tcPr>
          <w:p w14:paraId="32011CBF" w14:textId="0055D79D"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350.1</w:t>
            </w:r>
          </w:p>
        </w:tc>
        <w:tc>
          <w:tcPr>
            <w:tcW w:w="862" w:type="dxa"/>
            <w:tcBorders>
              <w:top w:val="nil"/>
              <w:left w:val="dotDash" w:sz="4" w:space="0" w:color="auto"/>
              <w:bottom w:val="nil"/>
              <w:right w:val="nil"/>
            </w:tcBorders>
            <w:shd w:val="clear" w:color="auto" w:fill="auto"/>
            <w:noWrap/>
            <w:vAlign w:val="center"/>
            <w:hideMark/>
          </w:tcPr>
          <w:p w14:paraId="6FB89A95" w14:textId="62FB004A"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-88.6</w:t>
            </w:r>
          </w:p>
        </w:tc>
        <w:tc>
          <w:tcPr>
            <w:tcW w:w="946" w:type="dxa"/>
            <w:tcBorders>
              <w:top w:val="nil"/>
              <w:left w:val="nil"/>
              <w:bottom w:val="nil"/>
              <w:right w:val="nil"/>
            </w:tcBorders>
            <w:shd w:val="clear" w:color="auto" w:fill="auto"/>
            <w:noWrap/>
            <w:vAlign w:val="center"/>
            <w:hideMark/>
          </w:tcPr>
          <w:p w14:paraId="180F461C" w14:textId="0898E358"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-20.2</w:t>
            </w:r>
          </w:p>
        </w:tc>
      </w:tr>
      <w:tr w:rsidR="00EB772E" w:rsidRPr="002E5EB4" w14:paraId="560448AF"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435666FC"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Prestaciones sociales </w:t>
            </w:r>
          </w:p>
        </w:tc>
        <w:tc>
          <w:tcPr>
            <w:tcW w:w="862" w:type="dxa"/>
            <w:tcBorders>
              <w:top w:val="nil"/>
              <w:left w:val="nil"/>
              <w:bottom w:val="nil"/>
              <w:right w:val="nil"/>
            </w:tcBorders>
            <w:shd w:val="clear" w:color="auto" w:fill="auto"/>
            <w:noWrap/>
            <w:vAlign w:val="center"/>
            <w:hideMark/>
          </w:tcPr>
          <w:p w14:paraId="64B9B4FA" w14:textId="4A5C7C1E"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9,248.0</w:t>
            </w:r>
          </w:p>
        </w:tc>
        <w:tc>
          <w:tcPr>
            <w:tcW w:w="864" w:type="dxa"/>
            <w:tcBorders>
              <w:top w:val="nil"/>
              <w:left w:val="nil"/>
              <w:bottom w:val="nil"/>
              <w:right w:val="nil"/>
            </w:tcBorders>
            <w:shd w:val="clear" w:color="auto" w:fill="auto"/>
            <w:noWrap/>
            <w:vAlign w:val="center"/>
            <w:hideMark/>
          </w:tcPr>
          <w:p w14:paraId="4360B615" w14:textId="3147FCFD"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10,871.6</w:t>
            </w:r>
          </w:p>
        </w:tc>
        <w:tc>
          <w:tcPr>
            <w:tcW w:w="862" w:type="dxa"/>
            <w:tcBorders>
              <w:top w:val="nil"/>
              <w:left w:val="dotDash" w:sz="4" w:space="0" w:color="auto"/>
              <w:bottom w:val="nil"/>
              <w:right w:val="nil"/>
            </w:tcBorders>
            <w:shd w:val="clear" w:color="auto" w:fill="auto"/>
            <w:noWrap/>
            <w:vAlign w:val="center"/>
            <w:hideMark/>
          </w:tcPr>
          <w:p w14:paraId="7036269B" w14:textId="5F4893FE"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1,623.6</w:t>
            </w:r>
          </w:p>
        </w:tc>
        <w:tc>
          <w:tcPr>
            <w:tcW w:w="946" w:type="dxa"/>
            <w:tcBorders>
              <w:top w:val="nil"/>
              <w:left w:val="nil"/>
              <w:bottom w:val="nil"/>
              <w:right w:val="nil"/>
            </w:tcBorders>
            <w:shd w:val="clear" w:color="auto" w:fill="auto"/>
            <w:noWrap/>
            <w:vAlign w:val="center"/>
            <w:hideMark/>
          </w:tcPr>
          <w:p w14:paraId="6874067C" w14:textId="1C729B59"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17.6</w:t>
            </w:r>
          </w:p>
        </w:tc>
      </w:tr>
      <w:tr w:rsidR="00EB772E" w:rsidRPr="002E5EB4" w14:paraId="15102708"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7D653FAE" w14:textId="77777777" w:rsidR="00EB772E" w:rsidRPr="002E5EB4" w:rsidRDefault="00EB772E" w:rsidP="00EB772E">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 xml:space="preserve">Otros gastos </w:t>
            </w:r>
          </w:p>
        </w:tc>
        <w:tc>
          <w:tcPr>
            <w:tcW w:w="862" w:type="dxa"/>
            <w:tcBorders>
              <w:top w:val="nil"/>
              <w:left w:val="nil"/>
              <w:bottom w:val="nil"/>
              <w:right w:val="nil"/>
            </w:tcBorders>
            <w:shd w:val="clear" w:color="auto" w:fill="auto"/>
            <w:noWrap/>
            <w:vAlign w:val="center"/>
            <w:hideMark/>
          </w:tcPr>
          <w:p w14:paraId="3048FBCF" w14:textId="6ADA326B"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6,261.8</w:t>
            </w:r>
          </w:p>
        </w:tc>
        <w:tc>
          <w:tcPr>
            <w:tcW w:w="864" w:type="dxa"/>
            <w:tcBorders>
              <w:top w:val="nil"/>
              <w:left w:val="nil"/>
              <w:bottom w:val="nil"/>
              <w:right w:val="nil"/>
            </w:tcBorders>
            <w:shd w:val="clear" w:color="auto" w:fill="auto"/>
            <w:noWrap/>
            <w:vAlign w:val="center"/>
            <w:hideMark/>
          </w:tcPr>
          <w:p w14:paraId="7AF108F1" w14:textId="0A7E5C12"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7,494.2</w:t>
            </w:r>
          </w:p>
        </w:tc>
        <w:tc>
          <w:tcPr>
            <w:tcW w:w="862" w:type="dxa"/>
            <w:tcBorders>
              <w:top w:val="nil"/>
              <w:left w:val="dotDash" w:sz="4" w:space="0" w:color="auto"/>
              <w:bottom w:val="nil"/>
              <w:right w:val="nil"/>
            </w:tcBorders>
            <w:shd w:val="clear" w:color="auto" w:fill="auto"/>
            <w:noWrap/>
            <w:vAlign w:val="center"/>
            <w:hideMark/>
          </w:tcPr>
          <w:p w14:paraId="0BF0F01A" w14:textId="663EBA5A"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1,232.4</w:t>
            </w:r>
          </w:p>
        </w:tc>
        <w:tc>
          <w:tcPr>
            <w:tcW w:w="946" w:type="dxa"/>
            <w:tcBorders>
              <w:top w:val="nil"/>
              <w:left w:val="nil"/>
              <w:bottom w:val="nil"/>
              <w:right w:val="nil"/>
            </w:tcBorders>
            <w:shd w:val="clear" w:color="auto" w:fill="auto"/>
            <w:noWrap/>
            <w:vAlign w:val="center"/>
            <w:hideMark/>
          </w:tcPr>
          <w:p w14:paraId="3537D450" w14:textId="3D5B4FA7" w:rsidR="00EB772E" w:rsidRPr="002E5EB4" w:rsidRDefault="00EB772E" w:rsidP="00EB772E">
            <w:pPr>
              <w:spacing w:before="0" w:after="0"/>
              <w:jc w:val="center"/>
              <w:rPr>
                <w:rFonts w:eastAsia="Times New Roman" w:cs="Times New Roman"/>
                <w:color w:val="000000"/>
                <w:sz w:val="16"/>
                <w:szCs w:val="16"/>
                <w:lang w:eastAsia="es-GT"/>
              </w:rPr>
            </w:pPr>
            <w:r w:rsidRPr="002E5EB4">
              <w:rPr>
                <w:color w:val="000000"/>
                <w:sz w:val="16"/>
                <w:szCs w:val="16"/>
              </w:rPr>
              <w:t>19.7</w:t>
            </w:r>
          </w:p>
        </w:tc>
      </w:tr>
      <w:tr w:rsidR="00EB772E" w:rsidRPr="002E5EB4" w14:paraId="378BE9C3"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27B62B75" w14:textId="77777777" w:rsidR="00EB772E" w:rsidRPr="002E5EB4" w:rsidRDefault="00EB772E" w:rsidP="00EB772E">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Resultado Operativo Primario</w:t>
            </w:r>
          </w:p>
        </w:tc>
        <w:tc>
          <w:tcPr>
            <w:tcW w:w="862" w:type="dxa"/>
            <w:tcBorders>
              <w:top w:val="nil"/>
              <w:left w:val="nil"/>
              <w:bottom w:val="nil"/>
              <w:right w:val="nil"/>
            </w:tcBorders>
            <w:shd w:val="clear" w:color="auto" w:fill="auto"/>
            <w:noWrap/>
            <w:vAlign w:val="center"/>
            <w:hideMark/>
          </w:tcPr>
          <w:p w14:paraId="12AE0145" w14:textId="1C076C58"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19,510.4</w:t>
            </w:r>
          </w:p>
        </w:tc>
        <w:tc>
          <w:tcPr>
            <w:tcW w:w="864" w:type="dxa"/>
            <w:tcBorders>
              <w:top w:val="nil"/>
              <w:left w:val="nil"/>
              <w:bottom w:val="nil"/>
              <w:right w:val="nil"/>
            </w:tcBorders>
            <w:shd w:val="clear" w:color="auto" w:fill="auto"/>
            <w:noWrap/>
            <w:vAlign w:val="center"/>
            <w:hideMark/>
          </w:tcPr>
          <w:p w14:paraId="38737EC5" w14:textId="5D7656B0"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19,363.4</w:t>
            </w:r>
          </w:p>
        </w:tc>
        <w:tc>
          <w:tcPr>
            <w:tcW w:w="862" w:type="dxa"/>
            <w:tcBorders>
              <w:top w:val="nil"/>
              <w:left w:val="dotDash" w:sz="4" w:space="0" w:color="auto"/>
              <w:bottom w:val="nil"/>
              <w:right w:val="nil"/>
            </w:tcBorders>
            <w:shd w:val="clear" w:color="auto" w:fill="auto"/>
            <w:noWrap/>
            <w:vAlign w:val="center"/>
            <w:hideMark/>
          </w:tcPr>
          <w:p w14:paraId="41D32914" w14:textId="338FE73E"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-146.9</w:t>
            </w:r>
          </w:p>
        </w:tc>
        <w:tc>
          <w:tcPr>
            <w:tcW w:w="946" w:type="dxa"/>
            <w:tcBorders>
              <w:top w:val="nil"/>
              <w:left w:val="nil"/>
              <w:bottom w:val="nil"/>
              <w:right w:val="nil"/>
            </w:tcBorders>
            <w:shd w:val="clear" w:color="auto" w:fill="auto"/>
            <w:noWrap/>
            <w:vAlign w:val="center"/>
            <w:hideMark/>
          </w:tcPr>
          <w:p w14:paraId="5CDBB21D" w14:textId="4D3BFD82"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-0.8</w:t>
            </w:r>
          </w:p>
        </w:tc>
      </w:tr>
      <w:tr w:rsidR="00EB772E" w:rsidRPr="002E5EB4" w14:paraId="4ED03594" w14:textId="77777777" w:rsidTr="00520862">
        <w:trPr>
          <w:trHeight w:val="262"/>
          <w:jc w:val="center"/>
        </w:trPr>
        <w:tc>
          <w:tcPr>
            <w:tcW w:w="3172" w:type="dxa"/>
            <w:tcBorders>
              <w:top w:val="nil"/>
              <w:left w:val="nil"/>
              <w:bottom w:val="nil"/>
              <w:right w:val="nil"/>
            </w:tcBorders>
            <w:shd w:val="clear" w:color="auto" w:fill="auto"/>
            <w:noWrap/>
            <w:vAlign w:val="center"/>
            <w:hideMark/>
          </w:tcPr>
          <w:p w14:paraId="0D93A4A7" w14:textId="77777777" w:rsidR="00EB772E" w:rsidRPr="002E5EB4" w:rsidRDefault="00EB772E" w:rsidP="00EB772E">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Resultado Operativo</w:t>
            </w:r>
          </w:p>
        </w:tc>
        <w:tc>
          <w:tcPr>
            <w:tcW w:w="862" w:type="dxa"/>
            <w:tcBorders>
              <w:top w:val="nil"/>
              <w:left w:val="nil"/>
              <w:bottom w:val="nil"/>
              <w:right w:val="nil"/>
            </w:tcBorders>
            <w:shd w:val="clear" w:color="auto" w:fill="auto"/>
            <w:noWrap/>
            <w:vAlign w:val="center"/>
            <w:hideMark/>
          </w:tcPr>
          <w:p w14:paraId="742040BB" w14:textId="763A4238"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11,893.6</w:t>
            </w:r>
          </w:p>
        </w:tc>
        <w:tc>
          <w:tcPr>
            <w:tcW w:w="864" w:type="dxa"/>
            <w:tcBorders>
              <w:top w:val="nil"/>
              <w:left w:val="nil"/>
              <w:bottom w:val="nil"/>
              <w:right w:val="nil"/>
            </w:tcBorders>
            <w:shd w:val="clear" w:color="auto" w:fill="auto"/>
            <w:noWrap/>
            <w:vAlign w:val="center"/>
            <w:hideMark/>
          </w:tcPr>
          <w:p w14:paraId="14602A44" w14:textId="338D2EBA"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10,812.0</w:t>
            </w:r>
          </w:p>
        </w:tc>
        <w:tc>
          <w:tcPr>
            <w:tcW w:w="862" w:type="dxa"/>
            <w:tcBorders>
              <w:top w:val="nil"/>
              <w:left w:val="dotDash" w:sz="4" w:space="0" w:color="auto"/>
              <w:bottom w:val="nil"/>
              <w:right w:val="nil"/>
            </w:tcBorders>
            <w:shd w:val="clear" w:color="auto" w:fill="auto"/>
            <w:noWrap/>
            <w:vAlign w:val="center"/>
            <w:hideMark/>
          </w:tcPr>
          <w:p w14:paraId="48422E92" w14:textId="0ADF4450"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-1,081.6</w:t>
            </w:r>
          </w:p>
        </w:tc>
        <w:tc>
          <w:tcPr>
            <w:tcW w:w="946" w:type="dxa"/>
            <w:tcBorders>
              <w:top w:val="nil"/>
              <w:left w:val="nil"/>
              <w:bottom w:val="nil"/>
              <w:right w:val="nil"/>
            </w:tcBorders>
            <w:shd w:val="clear" w:color="auto" w:fill="auto"/>
            <w:noWrap/>
            <w:vAlign w:val="center"/>
            <w:hideMark/>
          </w:tcPr>
          <w:p w14:paraId="2E0175E6" w14:textId="3715FB2D" w:rsidR="00EB772E" w:rsidRPr="002E5EB4" w:rsidRDefault="00EB772E" w:rsidP="00EB772E">
            <w:pPr>
              <w:spacing w:before="0" w:after="0"/>
              <w:jc w:val="center"/>
              <w:rPr>
                <w:rFonts w:eastAsia="Times New Roman" w:cs="Times New Roman"/>
                <w:b/>
                <w:bCs/>
                <w:color w:val="000000"/>
                <w:sz w:val="16"/>
                <w:szCs w:val="16"/>
                <w:lang w:eastAsia="es-GT"/>
              </w:rPr>
            </w:pPr>
            <w:r w:rsidRPr="002E5EB4">
              <w:rPr>
                <w:b/>
                <w:bCs/>
                <w:color w:val="000000"/>
                <w:sz w:val="16"/>
                <w:szCs w:val="16"/>
              </w:rPr>
              <w:t>-9.1</w:t>
            </w:r>
          </w:p>
        </w:tc>
      </w:tr>
      <w:tr w:rsidR="008B3F1D" w:rsidRPr="002E5EB4" w14:paraId="33CA70EA" w14:textId="77777777" w:rsidTr="00E46F67">
        <w:trPr>
          <w:trHeight w:val="262"/>
          <w:jc w:val="center"/>
        </w:trPr>
        <w:tc>
          <w:tcPr>
            <w:tcW w:w="6706" w:type="dxa"/>
            <w:gridSpan w:val="5"/>
            <w:tcBorders>
              <w:top w:val="single" w:sz="8" w:space="0" w:color="auto"/>
              <w:left w:val="nil"/>
              <w:bottom w:val="double" w:sz="6" w:space="0" w:color="auto"/>
              <w:right w:val="nil"/>
            </w:tcBorders>
            <w:shd w:val="clear" w:color="auto" w:fill="auto"/>
            <w:noWrap/>
            <w:vAlign w:val="center"/>
            <w:hideMark/>
          </w:tcPr>
          <w:p w14:paraId="24A45B30" w14:textId="77777777" w:rsidR="008B3F1D" w:rsidRPr="002E5EB4" w:rsidRDefault="008B3F1D" w:rsidP="00355337">
            <w:pPr>
              <w:spacing w:before="0" w:after="0"/>
              <w:rPr>
                <w:rFonts w:eastAsia="Times New Roman" w:cs="Times New Roman"/>
                <w:color w:val="4472C4"/>
                <w:sz w:val="18"/>
                <w:szCs w:val="18"/>
                <w:lang w:eastAsia="es-GT"/>
              </w:rPr>
            </w:pPr>
            <w:r w:rsidRPr="002E5EB4">
              <w:rPr>
                <w:rFonts w:eastAsia="Times New Roman" w:cs="Times New Roman"/>
                <w:color w:val="4472C4"/>
                <w:sz w:val="18"/>
                <w:szCs w:val="18"/>
                <w:lang w:eastAsia="es-GT"/>
              </w:rPr>
              <w:t>TRANSACCIONES EN ACTIVOS NO FINANCIEROS</w:t>
            </w:r>
          </w:p>
        </w:tc>
      </w:tr>
      <w:tr w:rsidR="008029EC" w:rsidRPr="002E5EB4" w14:paraId="7D4A6F52" w14:textId="77777777" w:rsidTr="00520862">
        <w:trPr>
          <w:trHeight w:val="262"/>
          <w:jc w:val="center"/>
        </w:trPr>
        <w:tc>
          <w:tcPr>
            <w:tcW w:w="3172" w:type="dxa"/>
            <w:tcBorders>
              <w:top w:val="nil"/>
              <w:left w:val="nil"/>
              <w:bottom w:val="nil"/>
              <w:right w:val="nil"/>
            </w:tcBorders>
            <w:shd w:val="clear" w:color="auto" w:fill="auto"/>
            <w:noWrap/>
            <w:vAlign w:val="center"/>
            <w:hideMark/>
          </w:tcPr>
          <w:p w14:paraId="785A95C0" w14:textId="77777777" w:rsidR="008029EC" w:rsidRPr="002E5EB4" w:rsidRDefault="008029EC" w:rsidP="008029EC">
            <w:pPr>
              <w:spacing w:before="0" w:after="0"/>
              <w:rPr>
                <w:rFonts w:eastAsia="Times New Roman" w:cs="Times New Roman"/>
                <w:color w:val="000000"/>
                <w:sz w:val="16"/>
                <w:szCs w:val="16"/>
                <w:lang w:eastAsia="es-GT"/>
              </w:rPr>
            </w:pPr>
            <w:r w:rsidRPr="002E5EB4">
              <w:rPr>
                <w:rFonts w:eastAsia="Times New Roman" w:cs="Times New Roman"/>
                <w:color w:val="000000"/>
                <w:sz w:val="16"/>
                <w:szCs w:val="16"/>
                <w:lang w:eastAsia="es-GT"/>
              </w:rPr>
              <w:t>Inversión bruta en activos no financieros</w:t>
            </w:r>
          </w:p>
        </w:tc>
        <w:tc>
          <w:tcPr>
            <w:tcW w:w="862" w:type="dxa"/>
            <w:tcBorders>
              <w:top w:val="nil"/>
              <w:left w:val="nil"/>
              <w:bottom w:val="nil"/>
              <w:right w:val="nil"/>
            </w:tcBorders>
            <w:shd w:val="clear" w:color="auto" w:fill="auto"/>
            <w:noWrap/>
            <w:vAlign w:val="center"/>
            <w:hideMark/>
          </w:tcPr>
          <w:p w14:paraId="462FD14C" w14:textId="48BEE220"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9,808.2</w:t>
            </w:r>
          </w:p>
        </w:tc>
        <w:tc>
          <w:tcPr>
            <w:tcW w:w="864" w:type="dxa"/>
            <w:tcBorders>
              <w:top w:val="nil"/>
              <w:left w:val="nil"/>
              <w:bottom w:val="nil"/>
              <w:right w:val="nil"/>
            </w:tcBorders>
            <w:shd w:val="clear" w:color="auto" w:fill="auto"/>
            <w:noWrap/>
            <w:vAlign w:val="center"/>
            <w:hideMark/>
          </w:tcPr>
          <w:p w14:paraId="337D35D7" w14:textId="36FB9E29"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13,107.7</w:t>
            </w:r>
          </w:p>
        </w:tc>
        <w:tc>
          <w:tcPr>
            <w:tcW w:w="862" w:type="dxa"/>
            <w:tcBorders>
              <w:top w:val="double" w:sz="6" w:space="0" w:color="auto"/>
              <w:left w:val="dotDash" w:sz="4" w:space="0" w:color="auto"/>
              <w:bottom w:val="nil"/>
              <w:right w:val="nil"/>
            </w:tcBorders>
            <w:shd w:val="clear" w:color="auto" w:fill="auto"/>
            <w:noWrap/>
            <w:vAlign w:val="center"/>
            <w:hideMark/>
          </w:tcPr>
          <w:p w14:paraId="65873BCA" w14:textId="1473EC69"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3,299.5</w:t>
            </w:r>
          </w:p>
        </w:tc>
        <w:tc>
          <w:tcPr>
            <w:tcW w:w="946" w:type="dxa"/>
            <w:tcBorders>
              <w:top w:val="nil"/>
              <w:left w:val="nil"/>
              <w:bottom w:val="nil"/>
              <w:right w:val="nil"/>
            </w:tcBorders>
            <w:shd w:val="clear" w:color="auto" w:fill="auto"/>
            <w:noWrap/>
            <w:vAlign w:val="center"/>
            <w:hideMark/>
          </w:tcPr>
          <w:p w14:paraId="100DA78D" w14:textId="67556BDC"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33.6</w:t>
            </w:r>
          </w:p>
        </w:tc>
      </w:tr>
      <w:tr w:rsidR="008029EC" w:rsidRPr="002E5EB4" w14:paraId="3ECD4FEF"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2B9D94D3" w14:textId="77777777" w:rsidR="008029EC" w:rsidRPr="002E5EB4" w:rsidRDefault="008029EC" w:rsidP="008029EC">
            <w:pPr>
              <w:spacing w:before="0" w:after="0"/>
              <w:rPr>
                <w:rFonts w:eastAsia="Times New Roman" w:cs="Times New Roman"/>
                <w:color w:val="000000"/>
                <w:sz w:val="16"/>
                <w:szCs w:val="16"/>
                <w:lang w:eastAsia="es-GT"/>
              </w:rPr>
            </w:pPr>
            <w:r w:rsidRPr="002E5EB4">
              <w:rPr>
                <w:rFonts w:eastAsia="Times New Roman" w:cs="Times New Roman"/>
                <w:color w:val="000000"/>
                <w:sz w:val="16"/>
                <w:szCs w:val="16"/>
                <w:lang w:eastAsia="es-GT"/>
              </w:rPr>
              <w:t>Erogación</w:t>
            </w:r>
          </w:p>
        </w:tc>
        <w:tc>
          <w:tcPr>
            <w:tcW w:w="862" w:type="dxa"/>
            <w:tcBorders>
              <w:top w:val="nil"/>
              <w:left w:val="nil"/>
              <w:bottom w:val="nil"/>
              <w:right w:val="nil"/>
            </w:tcBorders>
            <w:shd w:val="clear" w:color="auto" w:fill="auto"/>
            <w:noWrap/>
            <w:vAlign w:val="center"/>
            <w:hideMark/>
          </w:tcPr>
          <w:p w14:paraId="57633C31" w14:textId="5237D43B"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87,259.5</w:t>
            </w:r>
          </w:p>
        </w:tc>
        <w:tc>
          <w:tcPr>
            <w:tcW w:w="864" w:type="dxa"/>
            <w:tcBorders>
              <w:top w:val="nil"/>
              <w:left w:val="nil"/>
              <w:bottom w:val="nil"/>
              <w:right w:val="nil"/>
            </w:tcBorders>
            <w:shd w:val="clear" w:color="auto" w:fill="auto"/>
            <w:noWrap/>
            <w:vAlign w:val="center"/>
            <w:hideMark/>
          </w:tcPr>
          <w:p w14:paraId="1508FFF7" w14:textId="1CB1C36E"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100,755.0</w:t>
            </w:r>
          </w:p>
        </w:tc>
        <w:tc>
          <w:tcPr>
            <w:tcW w:w="862" w:type="dxa"/>
            <w:tcBorders>
              <w:top w:val="nil"/>
              <w:left w:val="dotDash" w:sz="4" w:space="0" w:color="auto"/>
              <w:bottom w:val="nil"/>
              <w:right w:val="nil"/>
            </w:tcBorders>
            <w:shd w:val="clear" w:color="auto" w:fill="auto"/>
            <w:noWrap/>
            <w:vAlign w:val="center"/>
            <w:hideMark/>
          </w:tcPr>
          <w:p w14:paraId="15506A3E" w14:textId="0DE129D8"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13,495.5</w:t>
            </w:r>
          </w:p>
        </w:tc>
        <w:tc>
          <w:tcPr>
            <w:tcW w:w="946" w:type="dxa"/>
            <w:tcBorders>
              <w:top w:val="nil"/>
              <w:left w:val="nil"/>
              <w:bottom w:val="nil"/>
              <w:right w:val="nil"/>
            </w:tcBorders>
            <w:shd w:val="clear" w:color="auto" w:fill="auto"/>
            <w:noWrap/>
            <w:vAlign w:val="center"/>
            <w:hideMark/>
          </w:tcPr>
          <w:p w14:paraId="49089940" w14:textId="610DCBA4"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15.5</w:t>
            </w:r>
          </w:p>
        </w:tc>
      </w:tr>
      <w:tr w:rsidR="008029EC" w:rsidRPr="002E5EB4" w14:paraId="66E19F45"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6580520C" w14:textId="77777777" w:rsidR="008029EC" w:rsidRPr="002E5EB4" w:rsidRDefault="008029EC" w:rsidP="008029EC">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Resultado Primario</w:t>
            </w:r>
          </w:p>
        </w:tc>
        <w:tc>
          <w:tcPr>
            <w:tcW w:w="862" w:type="dxa"/>
            <w:tcBorders>
              <w:top w:val="nil"/>
              <w:left w:val="nil"/>
              <w:bottom w:val="nil"/>
              <w:right w:val="nil"/>
            </w:tcBorders>
            <w:shd w:val="clear" w:color="auto" w:fill="auto"/>
            <w:noWrap/>
            <w:vAlign w:val="center"/>
            <w:hideMark/>
          </w:tcPr>
          <w:p w14:paraId="06D8887B" w14:textId="5D68D89C"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9,702.2</w:t>
            </w:r>
          </w:p>
        </w:tc>
        <w:tc>
          <w:tcPr>
            <w:tcW w:w="864" w:type="dxa"/>
            <w:tcBorders>
              <w:top w:val="nil"/>
              <w:left w:val="nil"/>
              <w:bottom w:val="nil"/>
              <w:right w:val="nil"/>
            </w:tcBorders>
            <w:shd w:val="clear" w:color="auto" w:fill="auto"/>
            <w:noWrap/>
            <w:vAlign w:val="center"/>
            <w:hideMark/>
          </w:tcPr>
          <w:p w14:paraId="3BF87C4C" w14:textId="42BFAE72"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6,255.7</w:t>
            </w:r>
          </w:p>
        </w:tc>
        <w:tc>
          <w:tcPr>
            <w:tcW w:w="862" w:type="dxa"/>
            <w:tcBorders>
              <w:top w:val="nil"/>
              <w:left w:val="dotDash" w:sz="4" w:space="0" w:color="auto"/>
              <w:bottom w:val="nil"/>
              <w:right w:val="nil"/>
            </w:tcBorders>
            <w:shd w:val="clear" w:color="auto" w:fill="auto"/>
            <w:noWrap/>
            <w:vAlign w:val="center"/>
            <w:hideMark/>
          </w:tcPr>
          <w:p w14:paraId="46C5507E" w14:textId="24FB7990"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-3,446.5</w:t>
            </w:r>
          </w:p>
        </w:tc>
        <w:tc>
          <w:tcPr>
            <w:tcW w:w="946" w:type="dxa"/>
            <w:tcBorders>
              <w:top w:val="nil"/>
              <w:left w:val="nil"/>
              <w:bottom w:val="nil"/>
              <w:right w:val="nil"/>
            </w:tcBorders>
            <w:shd w:val="clear" w:color="auto" w:fill="auto"/>
            <w:noWrap/>
            <w:vAlign w:val="center"/>
            <w:hideMark/>
          </w:tcPr>
          <w:p w14:paraId="1AADC64C" w14:textId="0840086B"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-35.5</w:t>
            </w:r>
          </w:p>
        </w:tc>
      </w:tr>
      <w:tr w:rsidR="008029EC" w:rsidRPr="002E5EB4" w14:paraId="0EC27771" w14:textId="77777777" w:rsidTr="00520862">
        <w:trPr>
          <w:trHeight w:val="262"/>
          <w:jc w:val="center"/>
        </w:trPr>
        <w:tc>
          <w:tcPr>
            <w:tcW w:w="3172" w:type="dxa"/>
            <w:tcBorders>
              <w:top w:val="nil"/>
              <w:left w:val="nil"/>
              <w:bottom w:val="nil"/>
              <w:right w:val="nil"/>
            </w:tcBorders>
            <w:shd w:val="clear" w:color="auto" w:fill="auto"/>
            <w:noWrap/>
            <w:vAlign w:val="center"/>
            <w:hideMark/>
          </w:tcPr>
          <w:p w14:paraId="78A7F9BF" w14:textId="77777777" w:rsidR="008029EC" w:rsidRPr="002E5EB4" w:rsidRDefault="008029EC" w:rsidP="008029EC">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Préstamo (+) / endeudamiento (-)</w:t>
            </w:r>
          </w:p>
        </w:tc>
        <w:tc>
          <w:tcPr>
            <w:tcW w:w="862" w:type="dxa"/>
            <w:tcBorders>
              <w:top w:val="nil"/>
              <w:left w:val="nil"/>
              <w:bottom w:val="nil"/>
              <w:right w:val="nil"/>
            </w:tcBorders>
            <w:shd w:val="clear" w:color="auto" w:fill="auto"/>
            <w:noWrap/>
            <w:vAlign w:val="center"/>
            <w:hideMark/>
          </w:tcPr>
          <w:p w14:paraId="5F2512DD" w14:textId="6FD1C550"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2,085.5</w:t>
            </w:r>
          </w:p>
        </w:tc>
        <w:tc>
          <w:tcPr>
            <w:tcW w:w="864" w:type="dxa"/>
            <w:tcBorders>
              <w:top w:val="nil"/>
              <w:left w:val="nil"/>
              <w:bottom w:val="nil"/>
              <w:right w:val="nil"/>
            </w:tcBorders>
            <w:shd w:val="clear" w:color="auto" w:fill="auto"/>
            <w:noWrap/>
            <w:vAlign w:val="center"/>
            <w:hideMark/>
          </w:tcPr>
          <w:p w14:paraId="2C519981" w14:textId="4C456AD0"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-2,295.7</w:t>
            </w:r>
          </w:p>
        </w:tc>
        <w:tc>
          <w:tcPr>
            <w:tcW w:w="862" w:type="dxa"/>
            <w:tcBorders>
              <w:top w:val="nil"/>
              <w:left w:val="dotDash" w:sz="4" w:space="0" w:color="auto"/>
              <w:bottom w:val="nil"/>
              <w:right w:val="nil"/>
            </w:tcBorders>
            <w:shd w:val="clear" w:color="auto" w:fill="auto"/>
            <w:noWrap/>
            <w:vAlign w:val="center"/>
            <w:hideMark/>
          </w:tcPr>
          <w:p w14:paraId="517AAEF2" w14:textId="3D0A1007"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-4,381.2</w:t>
            </w:r>
          </w:p>
        </w:tc>
        <w:tc>
          <w:tcPr>
            <w:tcW w:w="946" w:type="dxa"/>
            <w:tcBorders>
              <w:top w:val="nil"/>
              <w:left w:val="nil"/>
              <w:bottom w:val="nil"/>
              <w:right w:val="nil"/>
            </w:tcBorders>
            <w:shd w:val="clear" w:color="auto" w:fill="auto"/>
            <w:noWrap/>
            <w:vAlign w:val="center"/>
            <w:hideMark/>
          </w:tcPr>
          <w:p w14:paraId="6A9665E2" w14:textId="4828549D"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-210.1</w:t>
            </w:r>
          </w:p>
        </w:tc>
      </w:tr>
      <w:tr w:rsidR="008B3F1D" w:rsidRPr="002E5EB4" w14:paraId="78E00F0F" w14:textId="77777777" w:rsidTr="00E46F67">
        <w:trPr>
          <w:trHeight w:val="262"/>
          <w:jc w:val="center"/>
        </w:trPr>
        <w:tc>
          <w:tcPr>
            <w:tcW w:w="6706" w:type="dxa"/>
            <w:gridSpan w:val="5"/>
            <w:tcBorders>
              <w:top w:val="single" w:sz="8" w:space="0" w:color="auto"/>
              <w:left w:val="nil"/>
              <w:bottom w:val="double" w:sz="6" w:space="0" w:color="auto"/>
              <w:right w:val="nil"/>
            </w:tcBorders>
            <w:shd w:val="clear" w:color="auto" w:fill="auto"/>
            <w:noWrap/>
            <w:vAlign w:val="center"/>
            <w:hideMark/>
          </w:tcPr>
          <w:p w14:paraId="556CED90" w14:textId="77777777" w:rsidR="008B3F1D" w:rsidRPr="002E5EB4" w:rsidRDefault="008B3F1D" w:rsidP="00355337">
            <w:pPr>
              <w:spacing w:before="0" w:after="0"/>
              <w:rPr>
                <w:rFonts w:eastAsia="Times New Roman" w:cs="Times New Roman"/>
                <w:color w:val="4472C4"/>
                <w:sz w:val="18"/>
                <w:szCs w:val="18"/>
                <w:lang w:eastAsia="es-GT"/>
              </w:rPr>
            </w:pPr>
            <w:r w:rsidRPr="002E5EB4">
              <w:rPr>
                <w:rFonts w:eastAsia="Times New Roman" w:cs="Times New Roman"/>
                <w:color w:val="4472C4"/>
                <w:sz w:val="18"/>
                <w:szCs w:val="18"/>
                <w:lang w:eastAsia="es-GT"/>
              </w:rPr>
              <w:t>TRANSACCIONES EN ACTIVOS Y PASIVOS FINANCIEROS (FINANCIMIENTO)</w:t>
            </w:r>
          </w:p>
        </w:tc>
      </w:tr>
      <w:tr w:rsidR="008029EC" w:rsidRPr="002E5EB4" w14:paraId="1478A3CC" w14:textId="77777777" w:rsidTr="00520862">
        <w:trPr>
          <w:trHeight w:val="262"/>
          <w:jc w:val="center"/>
        </w:trPr>
        <w:tc>
          <w:tcPr>
            <w:tcW w:w="3172" w:type="dxa"/>
            <w:tcBorders>
              <w:top w:val="nil"/>
              <w:left w:val="nil"/>
              <w:bottom w:val="nil"/>
              <w:right w:val="nil"/>
            </w:tcBorders>
            <w:shd w:val="clear" w:color="auto" w:fill="auto"/>
            <w:noWrap/>
            <w:vAlign w:val="center"/>
            <w:hideMark/>
          </w:tcPr>
          <w:p w14:paraId="46AEB220" w14:textId="77777777" w:rsidR="008029EC" w:rsidRPr="002E5EB4" w:rsidRDefault="008029EC" w:rsidP="008029EC">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Adquisición neta de activos financieros</w:t>
            </w:r>
          </w:p>
        </w:tc>
        <w:tc>
          <w:tcPr>
            <w:tcW w:w="862" w:type="dxa"/>
            <w:tcBorders>
              <w:top w:val="nil"/>
              <w:left w:val="nil"/>
              <w:bottom w:val="nil"/>
              <w:right w:val="nil"/>
            </w:tcBorders>
            <w:shd w:val="clear" w:color="auto" w:fill="auto"/>
            <w:noWrap/>
            <w:vAlign w:val="center"/>
            <w:hideMark/>
          </w:tcPr>
          <w:p w14:paraId="36F4633F" w14:textId="238A3F4D"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7,219.7</w:t>
            </w:r>
          </w:p>
        </w:tc>
        <w:tc>
          <w:tcPr>
            <w:tcW w:w="864" w:type="dxa"/>
            <w:tcBorders>
              <w:top w:val="nil"/>
              <w:left w:val="nil"/>
              <w:bottom w:val="nil"/>
              <w:right w:val="nil"/>
            </w:tcBorders>
            <w:shd w:val="clear" w:color="auto" w:fill="auto"/>
            <w:noWrap/>
            <w:vAlign w:val="center"/>
            <w:hideMark/>
          </w:tcPr>
          <w:p w14:paraId="589037C2" w14:textId="079AEFD6"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1,415.5</w:t>
            </w:r>
          </w:p>
        </w:tc>
        <w:tc>
          <w:tcPr>
            <w:tcW w:w="862" w:type="dxa"/>
            <w:tcBorders>
              <w:top w:val="double" w:sz="6" w:space="0" w:color="auto"/>
              <w:left w:val="dotDash" w:sz="4" w:space="0" w:color="auto"/>
              <w:bottom w:val="nil"/>
              <w:right w:val="nil"/>
            </w:tcBorders>
            <w:shd w:val="clear" w:color="auto" w:fill="auto"/>
            <w:noWrap/>
            <w:vAlign w:val="center"/>
            <w:hideMark/>
          </w:tcPr>
          <w:p w14:paraId="2FB7FF72" w14:textId="4DEB7447"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-5,804.2</w:t>
            </w:r>
          </w:p>
        </w:tc>
        <w:tc>
          <w:tcPr>
            <w:tcW w:w="946" w:type="dxa"/>
            <w:tcBorders>
              <w:top w:val="nil"/>
              <w:left w:val="nil"/>
              <w:bottom w:val="nil"/>
              <w:right w:val="nil"/>
            </w:tcBorders>
            <w:shd w:val="clear" w:color="auto" w:fill="auto"/>
            <w:noWrap/>
            <w:vAlign w:val="center"/>
            <w:hideMark/>
          </w:tcPr>
          <w:p w14:paraId="40CF7674" w14:textId="01414D0C"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-80.4</w:t>
            </w:r>
          </w:p>
        </w:tc>
      </w:tr>
      <w:tr w:rsidR="008029EC" w:rsidRPr="002E5EB4" w14:paraId="476A2F8A"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73307E9B" w14:textId="77777777" w:rsidR="008029EC" w:rsidRPr="002E5EB4" w:rsidRDefault="008029EC" w:rsidP="008029EC">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Billetes monedas y depósitos</w:t>
            </w:r>
          </w:p>
        </w:tc>
        <w:tc>
          <w:tcPr>
            <w:tcW w:w="862" w:type="dxa"/>
            <w:tcBorders>
              <w:top w:val="nil"/>
              <w:left w:val="nil"/>
              <w:bottom w:val="nil"/>
              <w:right w:val="nil"/>
            </w:tcBorders>
            <w:shd w:val="clear" w:color="auto" w:fill="auto"/>
            <w:noWrap/>
            <w:vAlign w:val="center"/>
            <w:hideMark/>
          </w:tcPr>
          <w:p w14:paraId="2675F4AD" w14:textId="3D83033B"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5,267.1</w:t>
            </w:r>
          </w:p>
        </w:tc>
        <w:tc>
          <w:tcPr>
            <w:tcW w:w="864" w:type="dxa"/>
            <w:tcBorders>
              <w:top w:val="nil"/>
              <w:left w:val="nil"/>
              <w:bottom w:val="nil"/>
              <w:right w:val="nil"/>
            </w:tcBorders>
            <w:shd w:val="clear" w:color="auto" w:fill="auto"/>
            <w:noWrap/>
            <w:vAlign w:val="center"/>
            <w:hideMark/>
          </w:tcPr>
          <w:p w14:paraId="163847C6" w14:textId="6D7829E8"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-2,303.4</w:t>
            </w:r>
          </w:p>
        </w:tc>
        <w:tc>
          <w:tcPr>
            <w:tcW w:w="862" w:type="dxa"/>
            <w:tcBorders>
              <w:top w:val="nil"/>
              <w:left w:val="dotDash" w:sz="4" w:space="0" w:color="auto"/>
              <w:bottom w:val="nil"/>
              <w:right w:val="nil"/>
            </w:tcBorders>
            <w:shd w:val="clear" w:color="auto" w:fill="auto"/>
            <w:noWrap/>
            <w:vAlign w:val="center"/>
            <w:hideMark/>
          </w:tcPr>
          <w:p w14:paraId="08262FE1" w14:textId="535CC9B9"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-7,570.5</w:t>
            </w:r>
          </w:p>
        </w:tc>
        <w:tc>
          <w:tcPr>
            <w:tcW w:w="946" w:type="dxa"/>
            <w:tcBorders>
              <w:top w:val="nil"/>
              <w:left w:val="nil"/>
              <w:bottom w:val="nil"/>
              <w:right w:val="nil"/>
            </w:tcBorders>
            <w:shd w:val="clear" w:color="auto" w:fill="auto"/>
            <w:noWrap/>
            <w:vAlign w:val="center"/>
            <w:hideMark/>
          </w:tcPr>
          <w:p w14:paraId="3C078003" w14:textId="6C74D828"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-143.7</w:t>
            </w:r>
          </w:p>
        </w:tc>
      </w:tr>
      <w:tr w:rsidR="008029EC" w:rsidRPr="002E5EB4" w14:paraId="2AAF2D49"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4FAEAB75" w14:textId="77777777" w:rsidR="008029EC" w:rsidRPr="002E5EB4" w:rsidRDefault="008029EC" w:rsidP="008029EC">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Préstamos</w:t>
            </w:r>
          </w:p>
        </w:tc>
        <w:tc>
          <w:tcPr>
            <w:tcW w:w="862" w:type="dxa"/>
            <w:tcBorders>
              <w:top w:val="nil"/>
              <w:left w:val="nil"/>
              <w:bottom w:val="nil"/>
              <w:right w:val="nil"/>
            </w:tcBorders>
            <w:shd w:val="clear" w:color="auto" w:fill="auto"/>
            <w:noWrap/>
            <w:vAlign w:val="center"/>
            <w:hideMark/>
          </w:tcPr>
          <w:p w14:paraId="7AF477AD" w14:textId="5138F2AC"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-74.7</w:t>
            </w:r>
          </w:p>
        </w:tc>
        <w:tc>
          <w:tcPr>
            <w:tcW w:w="864" w:type="dxa"/>
            <w:tcBorders>
              <w:top w:val="nil"/>
              <w:left w:val="nil"/>
              <w:bottom w:val="nil"/>
              <w:right w:val="nil"/>
            </w:tcBorders>
            <w:shd w:val="clear" w:color="auto" w:fill="auto"/>
            <w:noWrap/>
            <w:vAlign w:val="center"/>
            <w:hideMark/>
          </w:tcPr>
          <w:p w14:paraId="0FA00F54" w14:textId="14B6E781"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-234.3</w:t>
            </w:r>
          </w:p>
        </w:tc>
        <w:tc>
          <w:tcPr>
            <w:tcW w:w="862" w:type="dxa"/>
            <w:tcBorders>
              <w:top w:val="nil"/>
              <w:left w:val="dotDash" w:sz="4" w:space="0" w:color="auto"/>
              <w:bottom w:val="nil"/>
              <w:right w:val="nil"/>
            </w:tcBorders>
            <w:shd w:val="clear" w:color="auto" w:fill="auto"/>
            <w:noWrap/>
            <w:vAlign w:val="center"/>
            <w:hideMark/>
          </w:tcPr>
          <w:p w14:paraId="0A78B727" w14:textId="5EBC63A0"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-159.6</w:t>
            </w:r>
          </w:p>
        </w:tc>
        <w:tc>
          <w:tcPr>
            <w:tcW w:w="946" w:type="dxa"/>
            <w:tcBorders>
              <w:top w:val="nil"/>
              <w:left w:val="nil"/>
              <w:bottom w:val="nil"/>
              <w:right w:val="nil"/>
            </w:tcBorders>
            <w:shd w:val="clear" w:color="auto" w:fill="auto"/>
            <w:noWrap/>
            <w:vAlign w:val="center"/>
            <w:hideMark/>
          </w:tcPr>
          <w:p w14:paraId="5416F808" w14:textId="45F0345B"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213.6</w:t>
            </w:r>
          </w:p>
        </w:tc>
      </w:tr>
      <w:tr w:rsidR="008029EC" w:rsidRPr="002E5EB4" w14:paraId="0BD9E735"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1D691174" w14:textId="77777777" w:rsidR="008029EC" w:rsidRPr="002E5EB4" w:rsidRDefault="008029EC" w:rsidP="008029EC">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Otros</w:t>
            </w:r>
          </w:p>
        </w:tc>
        <w:tc>
          <w:tcPr>
            <w:tcW w:w="862" w:type="dxa"/>
            <w:tcBorders>
              <w:top w:val="nil"/>
              <w:left w:val="nil"/>
              <w:bottom w:val="nil"/>
              <w:right w:val="nil"/>
            </w:tcBorders>
            <w:shd w:val="clear" w:color="auto" w:fill="auto"/>
            <w:noWrap/>
            <w:vAlign w:val="center"/>
            <w:hideMark/>
          </w:tcPr>
          <w:p w14:paraId="62CF5100" w14:textId="6D80F13E"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2,027.3</w:t>
            </w:r>
          </w:p>
        </w:tc>
        <w:tc>
          <w:tcPr>
            <w:tcW w:w="864" w:type="dxa"/>
            <w:tcBorders>
              <w:top w:val="nil"/>
              <w:left w:val="nil"/>
              <w:bottom w:val="nil"/>
              <w:right w:val="nil"/>
            </w:tcBorders>
            <w:shd w:val="clear" w:color="auto" w:fill="auto"/>
            <w:noWrap/>
            <w:vAlign w:val="center"/>
            <w:hideMark/>
          </w:tcPr>
          <w:p w14:paraId="4663603D" w14:textId="3A626399"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3,953.1</w:t>
            </w:r>
          </w:p>
        </w:tc>
        <w:tc>
          <w:tcPr>
            <w:tcW w:w="862" w:type="dxa"/>
            <w:tcBorders>
              <w:top w:val="nil"/>
              <w:left w:val="dotDash" w:sz="4" w:space="0" w:color="auto"/>
              <w:bottom w:val="nil"/>
              <w:right w:val="nil"/>
            </w:tcBorders>
            <w:shd w:val="clear" w:color="auto" w:fill="auto"/>
            <w:noWrap/>
            <w:vAlign w:val="center"/>
            <w:hideMark/>
          </w:tcPr>
          <w:p w14:paraId="6D6FEBEF" w14:textId="1B25C7A1"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1,925.8</w:t>
            </w:r>
          </w:p>
        </w:tc>
        <w:tc>
          <w:tcPr>
            <w:tcW w:w="946" w:type="dxa"/>
            <w:tcBorders>
              <w:top w:val="nil"/>
              <w:left w:val="nil"/>
              <w:bottom w:val="nil"/>
              <w:right w:val="nil"/>
            </w:tcBorders>
            <w:shd w:val="clear" w:color="auto" w:fill="auto"/>
            <w:noWrap/>
            <w:vAlign w:val="center"/>
            <w:hideMark/>
          </w:tcPr>
          <w:p w14:paraId="79BB1F9D" w14:textId="1D6FF048"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95.0</w:t>
            </w:r>
          </w:p>
        </w:tc>
      </w:tr>
      <w:tr w:rsidR="008029EC" w:rsidRPr="002E5EB4" w14:paraId="2A47555C"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4187817E" w14:textId="77777777" w:rsidR="008029EC" w:rsidRPr="002E5EB4" w:rsidRDefault="008029EC" w:rsidP="008029EC">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Incurrimiento neto de pasivos</w:t>
            </w:r>
          </w:p>
        </w:tc>
        <w:tc>
          <w:tcPr>
            <w:tcW w:w="862" w:type="dxa"/>
            <w:tcBorders>
              <w:top w:val="nil"/>
              <w:left w:val="nil"/>
              <w:bottom w:val="nil"/>
              <w:right w:val="nil"/>
            </w:tcBorders>
            <w:shd w:val="clear" w:color="auto" w:fill="auto"/>
            <w:noWrap/>
            <w:vAlign w:val="center"/>
            <w:hideMark/>
          </w:tcPr>
          <w:p w14:paraId="067FA32E" w14:textId="449EBFDD"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8,104.9</w:t>
            </w:r>
          </w:p>
        </w:tc>
        <w:tc>
          <w:tcPr>
            <w:tcW w:w="864" w:type="dxa"/>
            <w:tcBorders>
              <w:top w:val="nil"/>
              <w:left w:val="nil"/>
              <w:bottom w:val="nil"/>
              <w:right w:val="nil"/>
            </w:tcBorders>
            <w:shd w:val="clear" w:color="auto" w:fill="auto"/>
            <w:noWrap/>
            <w:vAlign w:val="center"/>
            <w:hideMark/>
          </w:tcPr>
          <w:p w14:paraId="69A3DE78" w14:textId="60BA7DA0"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4,072.4</w:t>
            </w:r>
          </w:p>
        </w:tc>
        <w:tc>
          <w:tcPr>
            <w:tcW w:w="862" w:type="dxa"/>
            <w:tcBorders>
              <w:top w:val="nil"/>
              <w:left w:val="dotDash" w:sz="4" w:space="0" w:color="auto"/>
              <w:bottom w:val="nil"/>
              <w:right w:val="nil"/>
            </w:tcBorders>
            <w:shd w:val="clear" w:color="auto" w:fill="auto"/>
            <w:noWrap/>
            <w:vAlign w:val="center"/>
            <w:hideMark/>
          </w:tcPr>
          <w:p w14:paraId="4E9A9BBA" w14:textId="54CD080E"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-4,032.6</w:t>
            </w:r>
          </w:p>
        </w:tc>
        <w:tc>
          <w:tcPr>
            <w:tcW w:w="946" w:type="dxa"/>
            <w:tcBorders>
              <w:top w:val="nil"/>
              <w:left w:val="nil"/>
              <w:bottom w:val="nil"/>
              <w:right w:val="nil"/>
            </w:tcBorders>
            <w:shd w:val="clear" w:color="auto" w:fill="auto"/>
            <w:noWrap/>
            <w:vAlign w:val="center"/>
            <w:hideMark/>
          </w:tcPr>
          <w:p w14:paraId="1C550B42" w14:textId="13118BE9"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-49.8</w:t>
            </w:r>
          </w:p>
        </w:tc>
      </w:tr>
      <w:tr w:rsidR="008029EC" w:rsidRPr="002E5EB4" w14:paraId="0EC3D796"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DA26372" w14:textId="77777777" w:rsidR="008029EC" w:rsidRPr="002E5EB4" w:rsidRDefault="008029EC" w:rsidP="008029EC">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Títulos de deuda</w:t>
            </w:r>
          </w:p>
        </w:tc>
        <w:tc>
          <w:tcPr>
            <w:tcW w:w="862" w:type="dxa"/>
            <w:tcBorders>
              <w:top w:val="nil"/>
              <w:left w:val="nil"/>
              <w:bottom w:val="nil"/>
              <w:right w:val="nil"/>
            </w:tcBorders>
            <w:shd w:val="clear" w:color="auto" w:fill="auto"/>
            <w:noWrap/>
            <w:vAlign w:val="center"/>
            <w:hideMark/>
          </w:tcPr>
          <w:p w14:paraId="29CDC8A8" w14:textId="30A9A3BE"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5,462.3</w:t>
            </w:r>
          </w:p>
        </w:tc>
        <w:tc>
          <w:tcPr>
            <w:tcW w:w="864" w:type="dxa"/>
            <w:tcBorders>
              <w:top w:val="nil"/>
              <w:left w:val="nil"/>
              <w:bottom w:val="nil"/>
              <w:right w:val="nil"/>
            </w:tcBorders>
            <w:shd w:val="clear" w:color="auto" w:fill="auto"/>
            <w:noWrap/>
            <w:vAlign w:val="center"/>
            <w:hideMark/>
          </w:tcPr>
          <w:p w14:paraId="5697B05E" w14:textId="286C5169"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5,877.7</w:t>
            </w:r>
          </w:p>
        </w:tc>
        <w:tc>
          <w:tcPr>
            <w:tcW w:w="862" w:type="dxa"/>
            <w:tcBorders>
              <w:top w:val="nil"/>
              <w:left w:val="dotDash" w:sz="4" w:space="0" w:color="auto"/>
              <w:bottom w:val="nil"/>
              <w:right w:val="nil"/>
            </w:tcBorders>
            <w:shd w:val="clear" w:color="auto" w:fill="auto"/>
            <w:noWrap/>
            <w:vAlign w:val="center"/>
            <w:hideMark/>
          </w:tcPr>
          <w:p w14:paraId="1455F01A" w14:textId="5463680C"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415.4</w:t>
            </w:r>
          </w:p>
        </w:tc>
        <w:tc>
          <w:tcPr>
            <w:tcW w:w="946" w:type="dxa"/>
            <w:tcBorders>
              <w:top w:val="nil"/>
              <w:left w:val="nil"/>
              <w:bottom w:val="nil"/>
              <w:right w:val="nil"/>
            </w:tcBorders>
            <w:shd w:val="clear" w:color="auto" w:fill="auto"/>
            <w:noWrap/>
            <w:vAlign w:val="center"/>
            <w:hideMark/>
          </w:tcPr>
          <w:p w14:paraId="3FE8C2C7" w14:textId="5D660397"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7.6</w:t>
            </w:r>
          </w:p>
        </w:tc>
      </w:tr>
      <w:tr w:rsidR="008029EC" w:rsidRPr="002E5EB4" w14:paraId="739A1584"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0A324F1E" w14:textId="77777777" w:rsidR="008029EC" w:rsidRPr="002E5EB4" w:rsidRDefault="008029EC" w:rsidP="008029EC">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Préstamos</w:t>
            </w:r>
          </w:p>
        </w:tc>
        <w:tc>
          <w:tcPr>
            <w:tcW w:w="862" w:type="dxa"/>
            <w:tcBorders>
              <w:top w:val="nil"/>
              <w:left w:val="nil"/>
              <w:bottom w:val="nil"/>
              <w:right w:val="nil"/>
            </w:tcBorders>
            <w:shd w:val="clear" w:color="auto" w:fill="auto"/>
            <w:noWrap/>
            <w:vAlign w:val="center"/>
            <w:hideMark/>
          </w:tcPr>
          <w:p w14:paraId="4711D929" w14:textId="1EF19A44"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2,136.8</w:t>
            </w:r>
          </w:p>
        </w:tc>
        <w:tc>
          <w:tcPr>
            <w:tcW w:w="864" w:type="dxa"/>
            <w:tcBorders>
              <w:top w:val="nil"/>
              <w:left w:val="nil"/>
              <w:bottom w:val="nil"/>
              <w:right w:val="nil"/>
            </w:tcBorders>
            <w:shd w:val="clear" w:color="auto" w:fill="auto"/>
            <w:noWrap/>
            <w:vAlign w:val="center"/>
            <w:hideMark/>
          </w:tcPr>
          <w:p w14:paraId="12C4DAA1" w14:textId="6D467ED7"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-1,511.3</w:t>
            </w:r>
          </w:p>
        </w:tc>
        <w:tc>
          <w:tcPr>
            <w:tcW w:w="862" w:type="dxa"/>
            <w:tcBorders>
              <w:top w:val="nil"/>
              <w:left w:val="dotDash" w:sz="4" w:space="0" w:color="auto"/>
              <w:bottom w:val="nil"/>
              <w:right w:val="nil"/>
            </w:tcBorders>
            <w:shd w:val="clear" w:color="auto" w:fill="auto"/>
            <w:noWrap/>
            <w:vAlign w:val="center"/>
            <w:hideMark/>
          </w:tcPr>
          <w:p w14:paraId="25041913" w14:textId="076C0E86"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-3,648.1</w:t>
            </w:r>
          </w:p>
        </w:tc>
        <w:tc>
          <w:tcPr>
            <w:tcW w:w="946" w:type="dxa"/>
            <w:tcBorders>
              <w:top w:val="nil"/>
              <w:left w:val="nil"/>
              <w:bottom w:val="nil"/>
              <w:right w:val="nil"/>
            </w:tcBorders>
            <w:shd w:val="clear" w:color="auto" w:fill="auto"/>
            <w:noWrap/>
            <w:vAlign w:val="center"/>
            <w:hideMark/>
          </w:tcPr>
          <w:p w14:paraId="2942A56D" w14:textId="5EC1A2BF"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-170.7</w:t>
            </w:r>
          </w:p>
        </w:tc>
      </w:tr>
      <w:tr w:rsidR="008029EC" w:rsidRPr="002E5EB4" w14:paraId="57168649"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793863C2" w14:textId="77777777" w:rsidR="008029EC" w:rsidRPr="002E5EB4" w:rsidRDefault="008029EC" w:rsidP="008029EC">
            <w:pPr>
              <w:spacing w:before="0" w:after="0"/>
              <w:ind w:firstLineChars="100" w:firstLine="160"/>
              <w:jc w:val="left"/>
              <w:rPr>
                <w:rFonts w:eastAsia="Times New Roman" w:cs="Times New Roman"/>
                <w:color w:val="000000"/>
                <w:sz w:val="16"/>
                <w:szCs w:val="16"/>
                <w:lang w:eastAsia="es-GT"/>
              </w:rPr>
            </w:pPr>
            <w:r w:rsidRPr="002E5EB4">
              <w:rPr>
                <w:rFonts w:eastAsia="Times New Roman" w:cs="Times New Roman"/>
                <w:color w:val="000000"/>
                <w:sz w:val="16"/>
                <w:szCs w:val="16"/>
                <w:lang w:eastAsia="es-GT"/>
              </w:rPr>
              <w:t>Otros</w:t>
            </w:r>
          </w:p>
        </w:tc>
        <w:tc>
          <w:tcPr>
            <w:tcW w:w="862" w:type="dxa"/>
            <w:tcBorders>
              <w:top w:val="nil"/>
              <w:left w:val="nil"/>
              <w:bottom w:val="nil"/>
              <w:right w:val="nil"/>
            </w:tcBorders>
            <w:shd w:val="clear" w:color="auto" w:fill="auto"/>
            <w:noWrap/>
            <w:vAlign w:val="center"/>
            <w:hideMark/>
          </w:tcPr>
          <w:p w14:paraId="0357FE98" w14:textId="5C176EB6"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505.8</w:t>
            </w:r>
          </w:p>
        </w:tc>
        <w:tc>
          <w:tcPr>
            <w:tcW w:w="864" w:type="dxa"/>
            <w:tcBorders>
              <w:top w:val="nil"/>
              <w:left w:val="nil"/>
              <w:bottom w:val="nil"/>
              <w:right w:val="nil"/>
            </w:tcBorders>
            <w:shd w:val="clear" w:color="auto" w:fill="auto"/>
            <w:noWrap/>
            <w:vAlign w:val="center"/>
            <w:hideMark/>
          </w:tcPr>
          <w:p w14:paraId="61CEBD19" w14:textId="1D10A61D"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-294.0</w:t>
            </w:r>
          </w:p>
        </w:tc>
        <w:tc>
          <w:tcPr>
            <w:tcW w:w="862" w:type="dxa"/>
            <w:tcBorders>
              <w:top w:val="nil"/>
              <w:left w:val="dotDash" w:sz="4" w:space="0" w:color="auto"/>
              <w:bottom w:val="nil"/>
              <w:right w:val="nil"/>
            </w:tcBorders>
            <w:shd w:val="clear" w:color="auto" w:fill="auto"/>
            <w:noWrap/>
            <w:vAlign w:val="center"/>
            <w:hideMark/>
          </w:tcPr>
          <w:p w14:paraId="5339448B" w14:textId="71393925"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-799.9</w:t>
            </w:r>
          </w:p>
        </w:tc>
        <w:tc>
          <w:tcPr>
            <w:tcW w:w="946" w:type="dxa"/>
            <w:tcBorders>
              <w:top w:val="nil"/>
              <w:left w:val="nil"/>
              <w:bottom w:val="nil"/>
              <w:right w:val="nil"/>
            </w:tcBorders>
            <w:shd w:val="clear" w:color="auto" w:fill="auto"/>
            <w:noWrap/>
            <w:vAlign w:val="center"/>
            <w:hideMark/>
          </w:tcPr>
          <w:p w14:paraId="570767E1" w14:textId="5A03143E" w:rsidR="008029EC" w:rsidRPr="002E5EB4" w:rsidRDefault="008029EC" w:rsidP="008029EC">
            <w:pPr>
              <w:spacing w:before="0" w:after="0"/>
              <w:jc w:val="center"/>
              <w:rPr>
                <w:rFonts w:eastAsia="Times New Roman" w:cs="Times New Roman"/>
                <w:color w:val="000000"/>
                <w:sz w:val="16"/>
                <w:szCs w:val="16"/>
                <w:lang w:eastAsia="es-GT"/>
              </w:rPr>
            </w:pPr>
            <w:r w:rsidRPr="002E5EB4">
              <w:rPr>
                <w:color w:val="000000"/>
                <w:sz w:val="16"/>
                <w:szCs w:val="16"/>
              </w:rPr>
              <w:t>-158.1</w:t>
            </w:r>
          </w:p>
        </w:tc>
      </w:tr>
      <w:tr w:rsidR="008029EC" w:rsidRPr="002E5EB4" w14:paraId="2C2BE4A1" w14:textId="77777777" w:rsidTr="00520862">
        <w:trPr>
          <w:trHeight w:val="250"/>
          <w:jc w:val="center"/>
        </w:trPr>
        <w:tc>
          <w:tcPr>
            <w:tcW w:w="3172" w:type="dxa"/>
            <w:tcBorders>
              <w:top w:val="nil"/>
              <w:left w:val="nil"/>
              <w:bottom w:val="nil"/>
              <w:right w:val="nil"/>
            </w:tcBorders>
            <w:shd w:val="clear" w:color="auto" w:fill="auto"/>
            <w:noWrap/>
            <w:vAlign w:val="center"/>
            <w:hideMark/>
          </w:tcPr>
          <w:p w14:paraId="162A7238" w14:textId="77777777" w:rsidR="008029EC" w:rsidRPr="002E5EB4" w:rsidRDefault="008029EC" w:rsidP="008029EC">
            <w:pPr>
              <w:spacing w:before="0" w:after="0"/>
              <w:rPr>
                <w:rFonts w:eastAsia="Times New Roman" w:cs="Times New Roman"/>
                <w:b/>
                <w:bCs/>
                <w:color w:val="000000"/>
                <w:sz w:val="16"/>
                <w:szCs w:val="16"/>
                <w:lang w:eastAsia="es-GT"/>
              </w:rPr>
            </w:pPr>
            <w:r w:rsidRPr="002E5EB4">
              <w:rPr>
                <w:rFonts w:eastAsia="Times New Roman" w:cs="Times New Roman"/>
                <w:b/>
                <w:bCs/>
                <w:color w:val="000000"/>
                <w:sz w:val="16"/>
                <w:szCs w:val="16"/>
                <w:lang w:eastAsia="es-GT"/>
              </w:rPr>
              <w:t>Discrepancia estadística global</w:t>
            </w:r>
          </w:p>
        </w:tc>
        <w:tc>
          <w:tcPr>
            <w:tcW w:w="862" w:type="dxa"/>
            <w:tcBorders>
              <w:top w:val="nil"/>
              <w:left w:val="nil"/>
              <w:bottom w:val="nil"/>
              <w:right w:val="nil"/>
            </w:tcBorders>
            <w:shd w:val="clear" w:color="auto" w:fill="auto"/>
            <w:noWrap/>
            <w:vAlign w:val="center"/>
            <w:hideMark/>
          </w:tcPr>
          <w:p w14:paraId="756C7DB2" w14:textId="19872B24"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-2,970.7</w:t>
            </w:r>
          </w:p>
        </w:tc>
        <w:tc>
          <w:tcPr>
            <w:tcW w:w="864" w:type="dxa"/>
            <w:tcBorders>
              <w:top w:val="nil"/>
              <w:left w:val="nil"/>
              <w:bottom w:val="nil"/>
              <w:right w:val="nil"/>
            </w:tcBorders>
            <w:shd w:val="clear" w:color="auto" w:fill="auto"/>
            <w:noWrap/>
            <w:vAlign w:val="center"/>
            <w:hideMark/>
          </w:tcPr>
          <w:p w14:paraId="5E1F0E13" w14:textId="0D5ADAC9"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-361.2</w:t>
            </w:r>
          </w:p>
        </w:tc>
        <w:tc>
          <w:tcPr>
            <w:tcW w:w="862" w:type="dxa"/>
            <w:tcBorders>
              <w:top w:val="nil"/>
              <w:left w:val="dotDash" w:sz="4" w:space="0" w:color="auto"/>
              <w:bottom w:val="nil"/>
              <w:right w:val="nil"/>
            </w:tcBorders>
            <w:shd w:val="clear" w:color="auto" w:fill="auto"/>
            <w:noWrap/>
            <w:vAlign w:val="center"/>
            <w:hideMark/>
          </w:tcPr>
          <w:p w14:paraId="686BC4D8" w14:textId="09245931"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2,609.5</w:t>
            </w:r>
          </w:p>
        </w:tc>
        <w:tc>
          <w:tcPr>
            <w:tcW w:w="946" w:type="dxa"/>
            <w:tcBorders>
              <w:top w:val="nil"/>
              <w:left w:val="nil"/>
              <w:bottom w:val="nil"/>
              <w:right w:val="nil"/>
            </w:tcBorders>
            <w:shd w:val="clear" w:color="auto" w:fill="auto"/>
            <w:noWrap/>
            <w:vAlign w:val="center"/>
            <w:hideMark/>
          </w:tcPr>
          <w:p w14:paraId="096B796D" w14:textId="57CFB7FA" w:rsidR="008029EC" w:rsidRPr="002E5EB4" w:rsidRDefault="008029EC" w:rsidP="008029EC">
            <w:pPr>
              <w:spacing w:before="0" w:after="0"/>
              <w:jc w:val="center"/>
              <w:rPr>
                <w:rFonts w:eastAsia="Times New Roman" w:cs="Times New Roman"/>
                <w:b/>
                <w:bCs/>
                <w:color w:val="000000"/>
                <w:sz w:val="16"/>
                <w:szCs w:val="16"/>
                <w:lang w:eastAsia="es-GT"/>
              </w:rPr>
            </w:pPr>
            <w:r w:rsidRPr="002E5EB4">
              <w:rPr>
                <w:b/>
                <w:bCs/>
                <w:color w:val="000000"/>
                <w:sz w:val="16"/>
                <w:szCs w:val="16"/>
              </w:rPr>
              <w:t>-87.8</w:t>
            </w:r>
          </w:p>
        </w:tc>
      </w:tr>
    </w:tbl>
    <w:p w14:paraId="3350F89B" w14:textId="7F5F675D" w:rsidR="003C303F" w:rsidRPr="002E5EB4" w:rsidRDefault="003C303F" w:rsidP="000405FF">
      <w:pPr>
        <w:pStyle w:val="Sinespaciado"/>
        <w:spacing w:before="0"/>
        <w:ind w:left="1276"/>
        <w:rPr>
          <w:rFonts w:ascii="Times New Roman" w:hAnsi="Times New Roman" w:cs="Times New Roman"/>
          <w:sz w:val="16"/>
          <w:szCs w:val="16"/>
          <w:lang w:val="es-MX"/>
        </w:rPr>
      </w:pPr>
      <w:r w:rsidRPr="002E5EB4">
        <w:rPr>
          <w:rFonts w:ascii="Times New Roman" w:hAnsi="Times New Roman" w:cs="Times New Roman"/>
          <w:sz w:val="16"/>
          <w:szCs w:val="16"/>
          <w:lang w:val="es-MX"/>
        </w:rPr>
        <w:t>*Cifras preliminares</w:t>
      </w:r>
    </w:p>
    <w:p w14:paraId="445E1632" w14:textId="77777777" w:rsidR="003C303F" w:rsidRPr="00FB4253" w:rsidRDefault="003C303F" w:rsidP="000405FF">
      <w:pPr>
        <w:pStyle w:val="Sinespaciado"/>
        <w:spacing w:before="0"/>
        <w:ind w:left="1276"/>
        <w:rPr>
          <w:rFonts w:ascii="Times New Roman" w:hAnsi="Times New Roman" w:cs="Times New Roman"/>
          <w:sz w:val="16"/>
          <w:szCs w:val="16"/>
          <w:lang w:val="es-MX"/>
        </w:rPr>
      </w:pPr>
      <w:r w:rsidRPr="002E5EB4">
        <w:rPr>
          <w:rFonts w:ascii="Times New Roman" w:hAnsi="Times New Roman" w:cs="Times New Roman"/>
          <w:sz w:val="16"/>
          <w:szCs w:val="16"/>
          <w:lang w:val="es-MX"/>
        </w:rPr>
        <w:t>Fuente: MINFIN</w:t>
      </w:r>
    </w:p>
    <w:p w14:paraId="6886455E" w14:textId="77777777" w:rsidR="006939D7" w:rsidRPr="004579E2" w:rsidRDefault="006939D7" w:rsidP="007105EE">
      <w:pPr>
        <w:ind w:left="1134"/>
        <w:rPr>
          <w:rFonts w:cs="Times New Roman"/>
          <w:sz w:val="22"/>
          <w:szCs w:val="22"/>
          <w:lang w:val="es-MX"/>
        </w:rPr>
      </w:pPr>
    </w:p>
    <w:sectPr w:rsidR="006939D7" w:rsidRPr="004579E2" w:rsidSect="003906AC">
      <w:headerReference w:type="default" r:id="rId49"/>
      <w:footerReference w:type="default" r:id="rId50"/>
      <w:headerReference w:type="first" r:id="rId51"/>
      <w:footerReference w:type="first" r:id="rId52"/>
      <w:type w:val="continuous"/>
      <w:pgSz w:w="12240" w:h="15840"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75F82" w14:textId="77777777" w:rsidR="00291BD6" w:rsidRDefault="00291BD6" w:rsidP="000B5E1C">
      <w:r>
        <w:separator/>
      </w:r>
    </w:p>
  </w:endnote>
  <w:endnote w:type="continuationSeparator" w:id="0">
    <w:p w14:paraId="52937787" w14:textId="77777777" w:rsidR="00291BD6" w:rsidRDefault="00291BD6" w:rsidP="000B5E1C">
      <w:r>
        <w:continuationSeparator/>
      </w:r>
    </w:p>
  </w:endnote>
  <w:endnote w:type="continuationNotice" w:id="1">
    <w:p w14:paraId="5F04A94B" w14:textId="77777777" w:rsidR="00291BD6" w:rsidRDefault="00291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AFEF9" w14:textId="285C8ACD" w:rsidR="000A5B5B" w:rsidRPr="00D90485" w:rsidRDefault="00D90485">
    <w:pPr>
      <w:pStyle w:val="Piedepgina"/>
      <w:jc w:val="right"/>
      <w:rPr>
        <w:rFonts w:cs="Times New Roman"/>
        <w:i/>
        <w:color w:val="FFFFFF" w:themeColor="background1"/>
      </w:rPr>
    </w:pPr>
    <w:r w:rsidRPr="00541048">
      <w:rPr>
        <w:rFonts w:cs="Times New Roman"/>
        <w:i/>
        <w:noProof/>
        <w:color w:val="FFFFFF" w:themeColor="background1"/>
        <w:lang w:eastAsia="es-GT"/>
      </w:rPr>
      <mc:AlternateContent>
        <mc:Choice Requires="wps">
          <w:drawing>
            <wp:anchor distT="0" distB="0" distL="114300" distR="114300" simplePos="0" relativeHeight="251658240" behindDoc="1" locked="0" layoutInCell="1" allowOverlap="1" wp14:anchorId="521885B3" wp14:editId="22954ED7">
              <wp:simplePos x="0" y="0"/>
              <wp:positionH relativeFrom="margin">
                <wp:posOffset>-1575</wp:posOffset>
              </wp:positionH>
              <wp:positionV relativeFrom="paragraph">
                <wp:posOffset>47549</wp:posOffset>
              </wp:positionV>
              <wp:extent cx="6001647" cy="425806"/>
              <wp:effectExtent l="57150" t="19050" r="75565" b="88900"/>
              <wp:wrapNone/>
              <wp:docPr id="853589062" name="Rectángulo: esquinas superiores cortadas 853589062"/>
              <wp:cNvGraphicFramePr/>
              <a:graphic xmlns:a="http://schemas.openxmlformats.org/drawingml/2006/main">
                <a:graphicData uri="http://schemas.microsoft.com/office/word/2010/wordprocessingShape">
                  <wps:wsp>
                    <wps:cNvSpPr/>
                    <wps:spPr>
                      <a:xfrm rot="10800000" flipV="1">
                        <a:off x="0" y="0"/>
                        <a:ext cx="6001647" cy="425806"/>
                      </a:xfrm>
                      <a:prstGeom prst="snip2SameRect">
                        <a:avLst>
                          <a:gd name="adj1" fmla="val 0"/>
                          <a:gd name="adj2" fmla="val 22812"/>
                        </a:avLst>
                      </a:prstGeom>
                      <a:ln/>
                    </wps:spPr>
                    <wps:style>
                      <a:lnRef idx="1">
                        <a:schemeClr val="accent1"/>
                      </a:lnRef>
                      <a:fillRef idx="3">
                        <a:schemeClr val="accent1"/>
                      </a:fillRef>
                      <a:effectRef idx="2">
                        <a:schemeClr val="accent1"/>
                      </a:effectRef>
                      <a:fontRef idx="minor">
                        <a:schemeClr val="lt1"/>
                      </a:fontRef>
                    </wps:style>
                    <wps:txbx>
                      <w:txbxContent>
                        <w:p w14:paraId="7329C069" w14:textId="0CD7F6DC" w:rsidR="00D90485" w:rsidRPr="00D90485" w:rsidRDefault="00D90485" w:rsidP="00D90485">
                          <w:pPr>
                            <w:pStyle w:val="Piedepgina"/>
                            <w:tabs>
                              <w:tab w:val="clear" w:pos="8838"/>
                              <w:tab w:val="left" w:pos="5173"/>
                            </w:tabs>
                            <w:rPr>
                              <w:rFonts w:cs="Times New Roman"/>
                              <w:i/>
                              <w:color w:val="FFFFFF" w:themeColor="background1"/>
                            </w:rPr>
                          </w:pPr>
                          <w:r w:rsidRPr="00D90485">
                            <w:rPr>
                              <w:rFonts w:cs="Times New Roman"/>
                              <w:i/>
                              <w:color w:val="FFFFFF" w:themeColor="background1"/>
                            </w:rPr>
                            <w:t xml:space="preserve">Informe de las Finanzas Públicas – </w:t>
                          </w:r>
                          <w:r w:rsidR="00D70C89">
                            <w:rPr>
                              <w:rFonts w:cs="Times New Roman"/>
                              <w:i/>
                              <w:color w:val="FFFFFF" w:themeColor="background1"/>
                            </w:rPr>
                            <w:t>Tercer</w:t>
                          </w:r>
                          <w:r w:rsidR="007916AA">
                            <w:rPr>
                              <w:rFonts w:cs="Times New Roman"/>
                              <w:i/>
                              <w:color w:val="FFFFFF" w:themeColor="background1"/>
                            </w:rPr>
                            <w:t xml:space="preserve"> Trimestre 2023</w:t>
                          </w:r>
                        </w:p>
                        <w:p w14:paraId="744DC8C2" w14:textId="0E8082E2" w:rsidR="004329D0" w:rsidRDefault="004329D0" w:rsidP="00432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85B3" id="Rectángulo: esquinas superiores cortadas 853589062" o:spid="_x0000_s1029" style="position:absolute;left:0;text-align:left;margin-left:-.1pt;margin-top:3.75pt;width:472.55pt;height:33.55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01647,4258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" adj="-11796480,,5400" path="m,l6001647,r,l6001647,328671r-97135,97135l97135,425806,,328671,,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0,0;6001647,0;6001647,0;6001647,328671;5904512,425806;97135,425806;0,328671;0,0" o:connectangles="0,0,0,0,0,0,0,0" textboxrect="0,0,6001647,425806"/>
              <v:textbox>
                <w:txbxContent>
                  <w:p w14:paraId="7329C069" w14:textId="0CD7F6DC" w:rsidR="00D90485" w:rsidRPr="00D90485" w:rsidRDefault="00D90485" w:rsidP="00D90485">
                    <w:pPr>
                      <w:pStyle w:val="Piedepgina"/>
                      <w:tabs>
                        <w:tab w:val="clear" w:pos="8838"/>
                        <w:tab w:val="left" w:pos="5173"/>
                      </w:tabs>
                      <w:rPr>
                        <w:rFonts w:cs="Times New Roman"/>
                        <w:i/>
                        <w:color w:val="FFFFFF" w:themeColor="background1"/>
                      </w:rPr>
                    </w:pPr>
                    <w:r w:rsidRPr="00D90485">
                      <w:rPr>
                        <w:rFonts w:cs="Times New Roman"/>
                        <w:i/>
                        <w:color w:val="FFFFFF" w:themeColor="background1"/>
                      </w:rPr>
                      <w:t xml:space="preserve">Informe de las Finanzas Públicas – </w:t>
                    </w:r>
                    <w:r w:rsidR="00D70C89">
                      <w:rPr>
                        <w:rFonts w:cs="Times New Roman"/>
                        <w:i/>
                        <w:color w:val="FFFFFF" w:themeColor="background1"/>
                      </w:rPr>
                      <w:t>Tercer</w:t>
                    </w:r>
                    <w:r w:rsidR="007916AA">
                      <w:rPr>
                        <w:rFonts w:cs="Times New Roman"/>
                        <w:i/>
                        <w:color w:val="FFFFFF" w:themeColor="background1"/>
                      </w:rPr>
                      <w:t xml:space="preserve"> Trimestre 2023</w:t>
                    </w:r>
                  </w:p>
                  <w:p w14:paraId="744DC8C2" w14:textId="0E8082E2" w:rsidR="004329D0" w:rsidRDefault="004329D0" w:rsidP="004329D0">
                    <w:pPr>
                      <w:jc w:val="center"/>
                    </w:pPr>
                  </w:p>
                </w:txbxContent>
              </v:textbox>
              <w10:wrap anchorx="margin"/>
            </v:shape>
          </w:pict>
        </mc:Fallback>
      </mc:AlternateContent>
    </w:r>
    <w:sdt>
      <w:sdtPr>
        <w:rPr>
          <w:rFonts w:cs="Times New Roman"/>
          <w:i/>
          <w:color w:val="FFFFFF" w:themeColor="background1"/>
          <w:lang w:val="es-ES"/>
        </w:rPr>
        <w:id w:val="1089358670"/>
        <w:docPartObj>
          <w:docPartGallery w:val="Page Numbers (Bottom of Page)"/>
          <w:docPartUnique/>
        </w:docPartObj>
      </w:sdtPr>
      <w:sdtEndPr/>
      <w:sdtContent>
        <w:r w:rsidR="000A5B5B" w:rsidRPr="00D90485">
          <w:rPr>
            <w:rFonts w:cs="Times New Roman"/>
            <w:i/>
            <w:color w:val="FFFFFF" w:themeColor="background1"/>
            <w:lang w:val="es-ES"/>
          </w:rPr>
          <w:t xml:space="preserve">Página | </w:t>
        </w:r>
        <w:r w:rsidR="000A5B5B" w:rsidRPr="00D90485">
          <w:rPr>
            <w:rFonts w:cs="Times New Roman"/>
            <w:i/>
            <w:color w:val="FFFFFF" w:themeColor="background1"/>
          </w:rPr>
          <w:fldChar w:fldCharType="begin"/>
        </w:r>
        <w:r w:rsidR="000A5B5B" w:rsidRPr="00D90485">
          <w:rPr>
            <w:rFonts w:cs="Times New Roman"/>
            <w:i/>
            <w:color w:val="FFFFFF" w:themeColor="background1"/>
          </w:rPr>
          <w:instrText>PAGE   \* MERGEFORMAT</w:instrText>
        </w:r>
        <w:r w:rsidR="000A5B5B" w:rsidRPr="00D90485">
          <w:rPr>
            <w:rFonts w:cs="Times New Roman"/>
            <w:i/>
            <w:color w:val="FFFFFF" w:themeColor="background1"/>
          </w:rPr>
          <w:fldChar w:fldCharType="separate"/>
        </w:r>
        <w:r w:rsidR="004A5583" w:rsidRPr="00D90485">
          <w:rPr>
            <w:rFonts w:cs="Times New Roman"/>
            <w:i/>
            <w:noProof/>
            <w:color w:val="FFFFFF" w:themeColor="background1"/>
            <w:lang w:val="es-ES"/>
          </w:rPr>
          <w:t>11</w:t>
        </w:r>
        <w:r w:rsidR="000A5B5B" w:rsidRPr="00D90485">
          <w:rPr>
            <w:rFonts w:cs="Times New Roman"/>
            <w:i/>
            <w:color w:val="FFFFFF" w:themeColor="background1"/>
          </w:rPr>
          <w:fldChar w:fldCharType="end"/>
        </w:r>
        <w:r w:rsidR="000A5B5B" w:rsidRPr="00D90485">
          <w:rPr>
            <w:rFonts w:cs="Times New Roman"/>
            <w:i/>
            <w:color w:val="FFFFFF" w:themeColor="background1"/>
            <w:lang w:val="es-ES"/>
          </w:rPr>
          <w:t xml:space="preserve"> </w:t>
        </w:r>
      </w:sdtContent>
    </w:sdt>
  </w:p>
  <w:p w14:paraId="3E2643A1" w14:textId="5F3AB2F1" w:rsidR="00902B34" w:rsidRDefault="00CD72C5" w:rsidP="007916AA">
    <w:pPr>
      <w:tabs>
        <w:tab w:val="left" w:pos="935"/>
        <w:tab w:val="left" w:pos="3375"/>
      </w:tabs>
    </w:pPr>
    <w:r>
      <w:tab/>
    </w:r>
    <w:r w:rsidR="007916A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AAF1" w14:textId="77777777" w:rsidR="000A5B5B" w:rsidRDefault="000A5B5B">
    <w:pPr>
      <w:pStyle w:val="Piedepgina"/>
    </w:pPr>
    <w:r>
      <w:rPr>
        <w:rFonts w:cs="Times New Roman"/>
        <w:i/>
        <w:noProof/>
        <w:color w:val="1F497D" w:themeColor="text2"/>
        <w:lang w:eastAsia="es-GT"/>
      </w:rPr>
      <mc:AlternateContent>
        <mc:Choice Requires="wps">
          <w:drawing>
            <wp:anchor distT="0" distB="0" distL="114300" distR="114300" simplePos="0" relativeHeight="251658242" behindDoc="0" locked="0" layoutInCell="1" allowOverlap="1" wp14:anchorId="2C67F3FC" wp14:editId="2B07D3AE">
              <wp:simplePos x="0" y="0"/>
              <wp:positionH relativeFrom="column">
                <wp:posOffset>77580</wp:posOffset>
              </wp:positionH>
              <wp:positionV relativeFrom="paragraph">
                <wp:posOffset>-206568</wp:posOffset>
              </wp:positionV>
              <wp:extent cx="5931315" cy="47625"/>
              <wp:effectExtent l="0" t="0" r="12700" b="28575"/>
              <wp:wrapNone/>
              <wp:docPr id="45" name="Rectángulo 45"/>
              <wp:cNvGraphicFramePr/>
              <a:graphic xmlns:a="http://schemas.openxmlformats.org/drawingml/2006/main">
                <a:graphicData uri="http://schemas.microsoft.com/office/word/2010/wordprocessingShape">
                  <wps:wsp>
                    <wps:cNvSpPr/>
                    <wps:spPr>
                      <a:xfrm>
                        <a:off x="0" y="0"/>
                        <a:ext cx="5931315"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6FC9A" id="Rectángulo 45" o:spid="_x0000_s1026" style="position:absolute;margin-left:6.1pt;margin-top:-16.25pt;width:467.05pt;height:3.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" fillcolor="#8aabd3 [2132]" strokeweight="2pt">
              <v:fill color2="#f2f2f2 [3052]" rotate="t" angle="90" colors="0 #9ab5e4;50463f #c2d1ed;58327f #e1e8f5;64881f #f2f2f2" focus="100%" type="gradient">
                <o:fill v:ext="view" type="gradientUnscaled"/>
              </v:fill>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5019C" w14:textId="77777777" w:rsidR="00291BD6" w:rsidRDefault="00291BD6" w:rsidP="000B5E1C">
      <w:r>
        <w:separator/>
      </w:r>
    </w:p>
  </w:footnote>
  <w:footnote w:type="continuationSeparator" w:id="0">
    <w:p w14:paraId="68BBD3E5" w14:textId="77777777" w:rsidR="00291BD6" w:rsidRDefault="00291BD6" w:rsidP="000B5E1C">
      <w:r>
        <w:continuationSeparator/>
      </w:r>
    </w:p>
  </w:footnote>
  <w:footnote w:type="continuationNotice" w:id="1">
    <w:p w14:paraId="503F5E27" w14:textId="77777777" w:rsidR="00291BD6" w:rsidRDefault="00291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4714C" w14:textId="4F9466B7" w:rsidR="000A5B5B" w:rsidRPr="00AC45C7" w:rsidRDefault="002213CF" w:rsidP="00AC45C7">
    <w:pPr>
      <w:pStyle w:val="Encabezado"/>
      <w:jc w:val="right"/>
      <w:rPr>
        <w:rFonts w:cs="Times New Roman"/>
        <w:i/>
        <w:color w:val="1F497D" w:themeColor="text2"/>
      </w:rPr>
    </w:pPr>
    <w:r w:rsidRPr="00541048">
      <w:rPr>
        <w:rFonts w:cs="Times New Roman"/>
        <w:i/>
        <w:noProof/>
        <w:color w:val="FFFFFF" w:themeColor="background1"/>
        <w:lang w:eastAsia="es-GT"/>
      </w:rPr>
      <mc:AlternateContent>
        <mc:Choice Requires="wps">
          <w:drawing>
            <wp:anchor distT="0" distB="0" distL="114300" distR="114300" simplePos="0" relativeHeight="251658241" behindDoc="1" locked="0" layoutInCell="1" allowOverlap="1" wp14:anchorId="26DEA52F" wp14:editId="46E53ED9">
              <wp:simplePos x="0" y="0"/>
              <wp:positionH relativeFrom="margin">
                <wp:posOffset>1189990</wp:posOffset>
              </wp:positionH>
              <wp:positionV relativeFrom="paragraph">
                <wp:posOffset>-100025</wp:posOffset>
              </wp:positionV>
              <wp:extent cx="4822088" cy="440574"/>
              <wp:effectExtent l="57150" t="19050" r="74295" b="93345"/>
              <wp:wrapNone/>
              <wp:docPr id="44" name="Rectángulo: esquinas superiores cortadas 44"/>
              <wp:cNvGraphicFramePr/>
              <a:graphic xmlns:a="http://schemas.openxmlformats.org/drawingml/2006/main">
                <a:graphicData uri="http://schemas.microsoft.com/office/word/2010/wordprocessingShape">
                  <wps:wsp>
                    <wps:cNvSpPr/>
                    <wps:spPr>
                      <a:xfrm>
                        <a:off x="0" y="0"/>
                        <a:ext cx="4822088" cy="440574"/>
                      </a:xfrm>
                      <a:prstGeom prst="snip2SameRect">
                        <a:avLst/>
                      </a:prstGeom>
                      <a:ln/>
                    </wps:spPr>
                    <wps:style>
                      <a:lnRef idx="1">
                        <a:schemeClr val="accent1"/>
                      </a:lnRef>
                      <a:fillRef idx="3">
                        <a:schemeClr val="accent1"/>
                      </a:fillRef>
                      <a:effectRef idx="2">
                        <a:schemeClr val="accent1"/>
                      </a:effectRef>
                      <a:fontRef idx="minor">
                        <a:schemeClr val="lt1"/>
                      </a:fontRef>
                    </wps:style>
                    <wps:txbx>
                      <w:txbxContent>
                        <w:p w14:paraId="122F5878" w14:textId="65FA1338" w:rsidR="006E6E90" w:rsidRDefault="006E6E90" w:rsidP="006E6E90">
                          <w:pPr>
                            <w:jc w:val="center"/>
                          </w:pPr>
                          <w:r w:rsidRPr="00541048">
                            <w:rPr>
                              <w:rFonts w:cs="Times New Roman"/>
                              <w:i/>
                              <w:color w:val="FFFFFF" w:themeColor="background1"/>
                            </w:rPr>
                            <w:t>Dirección de Análisis y Política Fiscal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A52F" id="Rectángulo: esquinas superiores cortadas 44" o:spid="_x0000_s1028" style="position:absolute;left:0;text-align:left;margin-left:93.7pt;margin-top:-7.9pt;width:379.7pt;height:34.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22088,4405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" adj="-11796480,,5400" path="m73430,l4748658,r73430,73430l4822088,440574r,l,440574r,l,73430,73430,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73430,0;4748658,0;4822088,73430;4822088,440574;4822088,440574;0,440574;0,440574;0,73430;73430,0" o:connectangles="0,0,0,0,0,0,0,0,0" textboxrect="0,0,4822088,440574"/>
              <v:textbox>
                <w:txbxContent>
                  <w:p w14:paraId="122F5878" w14:textId="65FA1338" w:rsidR="006E6E90" w:rsidRDefault="006E6E90" w:rsidP="006E6E90">
                    <w:pPr>
                      <w:jc w:val="center"/>
                    </w:pPr>
                    <w:r w:rsidRPr="00541048">
                      <w:rPr>
                        <w:rFonts w:cs="Times New Roman"/>
                        <w:i/>
                        <w:color w:val="FFFFFF" w:themeColor="background1"/>
                      </w:rPr>
                      <w:t>Dirección de Análisis y Política Fiscal</w:t>
                    </w:r>
                  </w:p>
                </w:txbxContent>
              </v:textbox>
              <w10:wrap anchorx="margin"/>
            </v:shape>
          </w:pict>
        </mc:Fallback>
      </mc:AlternateContent>
    </w:r>
    <w:r w:rsidR="00C44C54" w:rsidRPr="00541048">
      <w:rPr>
        <w:noProof/>
        <w:color w:val="FFFFFF" w:themeColor="background1"/>
      </w:rPr>
      <w:drawing>
        <wp:anchor distT="0" distB="0" distL="114300" distR="114300" simplePos="0" relativeHeight="251658243" behindDoc="1" locked="0" layoutInCell="1" allowOverlap="1" wp14:anchorId="694B849B" wp14:editId="6CC52FD8">
          <wp:simplePos x="0" y="0"/>
          <wp:positionH relativeFrom="column">
            <wp:posOffset>-136222</wp:posOffset>
          </wp:positionH>
          <wp:positionV relativeFrom="paragraph">
            <wp:posOffset>-232410</wp:posOffset>
          </wp:positionV>
          <wp:extent cx="1403584" cy="736979"/>
          <wp:effectExtent l="0" t="0" r="0" b="0"/>
          <wp:wrapNone/>
          <wp:docPr id="1422846671" name="Imagen 142284667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22572" name="Imagen 86192257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03584" cy="7369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B674F" w14:textId="77777777" w:rsidR="000A5B5B" w:rsidRPr="005329C2" w:rsidRDefault="000A5B5B" w:rsidP="00CB498E">
    <w:pPr>
      <w:pStyle w:val="Encabezado"/>
      <w:jc w:val="center"/>
      <w:rPr>
        <w:rFonts w:cs="Times New Roman"/>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19F2"/>
    <w:multiLevelType w:val="hybridMultilevel"/>
    <w:tmpl w:val="F66C4A1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B2B160D"/>
    <w:multiLevelType w:val="hybridMultilevel"/>
    <w:tmpl w:val="5652F5FA"/>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A32CD"/>
    <w:multiLevelType w:val="hybridMultilevel"/>
    <w:tmpl w:val="6818CF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30B3E59"/>
    <w:multiLevelType w:val="hybridMultilevel"/>
    <w:tmpl w:val="F832278A"/>
    <w:lvl w:ilvl="0" w:tplc="4142F532">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45536B5"/>
    <w:multiLevelType w:val="hybridMultilevel"/>
    <w:tmpl w:val="02E2FB34"/>
    <w:lvl w:ilvl="0" w:tplc="2E828656">
      <w:start w:val="1"/>
      <w:numFmt w:val="decimal"/>
      <w:lvlText w:val="%1.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6811248"/>
    <w:multiLevelType w:val="hybridMultilevel"/>
    <w:tmpl w:val="2E12E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DFA2B56"/>
    <w:multiLevelType w:val="hybridMultilevel"/>
    <w:tmpl w:val="60DAF59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F151372"/>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E5232B"/>
    <w:multiLevelType w:val="hybridMultilevel"/>
    <w:tmpl w:val="E06C4B02"/>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03721B"/>
    <w:multiLevelType w:val="multilevel"/>
    <w:tmpl w:val="43220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605102"/>
    <w:multiLevelType w:val="hybridMultilevel"/>
    <w:tmpl w:val="FEA4A05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1" w15:restartNumberingAfterBreak="0">
    <w:nsid w:val="2B756652"/>
    <w:multiLevelType w:val="hybridMultilevel"/>
    <w:tmpl w:val="4C3CF3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CEE5E3C"/>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2F3A7D94"/>
    <w:multiLevelType w:val="hybridMultilevel"/>
    <w:tmpl w:val="D4A449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1A24AD2"/>
    <w:multiLevelType w:val="multilevel"/>
    <w:tmpl w:val="0C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7" w15:restartNumberingAfterBreak="0">
    <w:nsid w:val="38E61988"/>
    <w:multiLevelType w:val="hybridMultilevel"/>
    <w:tmpl w:val="7D04A81C"/>
    <w:lvl w:ilvl="0" w:tplc="A1F83D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39344CF8"/>
    <w:multiLevelType w:val="hybridMultilevel"/>
    <w:tmpl w:val="39F4D9A0"/>
    <w:lvl w:ilvl="0" w:tplc="100A0017">
      <w:start w:val="1"/>
      <w:numFmt w:val="lowerLetter"/>
      <w:lvlText w:val="%1)"/>
      <w:lvlJc w:val="left"/>
      <w:pPr>
        <w:tabs>
          <w:tab w:val="num" w:pos="1428"/>
        </w:tabs>
        <w:ind w:left="1428" w:hanging="360"/>
      </w:pPr>
      <w:rPr>
        <w:rFonts w:hint="default"/>
      </w:rPr>
    </w:lvl>
    <w:lvl w:ilvl="1" w:tplc="88A822C4" w:tentative="1">
      <w:start w:val="1"/>
      <w:numFmt w:val="bullet"/>
      <w:lvlText w:val="•"/>
      <w:lvlJc w:val="left"/>
      <w:pPr>
        <w:tabs>
          <w:tab w:val="num" w:pos="2148"/>
        </w:tabs>
        <w:ind w:left="2148" w:hanging="360"/>
      </w:pPr>
      <w:rPr>
        <w:rFonts w:ascii="Arial" w:hAnsi="Arial" w:hint="default"/>
      </w:rPr>
    </w:lvl>
    <w:lvl w:ilvl="2" w:tplc="0A663566" w:tentative="1">
      <w:start w:val="1"/>
      <w:numFmt w:val="bullet"/>
      <w:lvlText w:val="•"/>
      <w:lvlJc w:val="left"/>
      <w:pPr>
        <w:tabs>
          <w:tab w:val="num" w:pos="2868"/>
        </w:tabs>
        <w:ind w:left="2868" w:hanging="360"/>
      </w:pPr>
      <w:rPr>
        <w:rFonts w:ascii="Arial" w:hAnsi="Arial" w:hint="default"/>
      </w:rPr>
    </w:lvl>
    <w:lvl w:ilvl="3" w:tplc="FC0AC50E" w:tentative="1">
      <w:start w:val="1"/>
      <w:numFmt w:val="bullet"/>
      <w:lvlText w:val="•"/>
      <w:lvlJc w:val="left"/>
      <w:pPr>
        <w:tabs>
          <w:tab w:val="num" w:pos="3588"/>
        </w:tabs>
        <w:ind w:left="3588" w:hanging="360"/>
      </w:pPr>
      <w:rPr>
        <w:rFonts w:ascii="Arial" w:hAnsi="Arial" w:hint="default"/>
      </w:rPr>
    </w:lvl>
    <w:lvl w:ilvl="4" w:tplc="2F2C20D6" w:tentative="1">
      <w:start w:val="1"/>
      <w:numFmt w:val="bullet"/>
      <w:lvlText w:val="•"/>
      <w:lvlJc w:val="left"/>
      <w:pPr>
        <w:tabs>
          <w:tab w:val="num" w:pos="4308"/>
        </w:tabs>
        <w:ind w:left="4308" w:hanging="360"/>
      </w:pPr>
      <w:rPr>
        <w:rFonts w:ascii="Arial" w:hAnsi="Arial" w:hint="default"/>
      </w:rPr>
    </w:lvl>
    <w:lvl w:ilvl="5" w:tplc="3D765614" w:tentative="1">
      <w:start w:val="1"/>
      <w:numFmt w:val="bullet"/>
      <w:lvlText w:val="•"/>
      <w:lvlJc w:val="left"/>
      <w:pPr>
        <w:tabs>
          <w:tab w:val="num" w:pos="5028"/>
        </w:tabs>
        <w:ind w:left="5028" w:hanging="360"/>
      </w:pPr>
      <w:rPr>
        <w:rFonts w:ascii="Arial" w:hAnsi="Arial" w:hint="default"/>
      </w:rPr>
    </w:lvl>
    <w:lvl w:ilvl="6" w:tplc="D7B4C0EE" w:tentative="1">
      <w:start w:val="1"/>
      <w:numFmt w:val="bullet"/>
      <w:lvlText w:val="•"/>
      <w:lvlJc w:val="left"/>
      <w:pPr>
        <w:tabs>
          <w:tab w:val="num" w:pos="5748"/>
        </w:tabs>
        <w:ind w:left="5748" w:hanging="360"/>
      </w:pPr>
      <w:rPr>
        <w:rFonts w:ascii="Arial" w:hAnsi="Arial" w:hint="default"/>
      </w:rPr>
    </w:lvl>
    <w:lvl w:ilvl="7" w:tplc="FFBC65E4" w:tentative="1">
      <w:start w:val="1"/>
      <w:numFmt w:val="bullet"/>
      <w:lvlText w:val="•"/>
      <w:lvlJc w:val="left"/>
      <w:pPr>
        <w:tabs>
          <w:tab w:val="num" w:pos="6468"/>
        </w:tabs>
        <w:ind w:left="6468" w:hanging="360"/>
      </w:pPr>
      <w:rPr>
        <w:rFonts w:ascii="Arial" w:hAnsi="Arial" w:hint="default"/>
      </w:rPr>
    </w:lvl>
    <w:lvl w:ilvl="8" w:tplc="7AD008E2" w:tentative="1">
      <w:start w:val="1"/>
      <w:numFmt w:val="bullet"/>
      <w:lvlText w:val="•"/>
      <w:lvlJc w:val="left"/>
      <w:pPr>
        <w:tabs>
          <w:tab w:val="num" w:pos="7188"/>
        </w:tabs>
        <w:ind w:left="7188" w:hanging="360"/>
      </w:pPr>
      <w:rPr>
        <w:rFonts w:ascii="Arial" w:hAnsi="Arial" w:hint="default"/>
      </w:rPr>
    </w:lvl>
  </w:abstractNum>
  <w:abstractNum w:abstractNumId="19" w15:restartNumberingAfterBreak="0">
    <w:nsid w:val="3C7636C7"/>
    <w:multiLevelType w:val="hybridMultilevel"/>
    <w:tmpl w:val="F4A8584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3F4E4675"/>
    <w:multiLevelType w:val="hybridMultilevel"/>
    <w:tmpl w:val="592A14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1F878AD"/>
    <w:multiLevelType w:val="multilevel"/>
    <w:tmpl w:val="6BE6B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3772FF"/>
    <w:multiLevelType w:val="multilevel"/>
    <w:tmpl w:val="B420C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455B36"/>
    <w:multiLevelType w:val="hybridMultilevel"/>
    <w:tmpl w:val="2F9A9654"/>
    <w:lvl w:ilvl="0" w:tplc="DB6E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0587C29"/>
    <w:multiLevelType w:val="hybridMultilevel"/>
    <w:tmpl w:val="21D2FB3A"/>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25" w15:restartNumberingAfterBreak="0">
    <w:nsid w:val="523C077D"/>
    <w:multiLevelType w:val="multilevel"/>
    <w:tmpl w:val="16DEA90E"/>
    <w:lvl w:ilvl="0">
      <w:start w:val="1"/>
      <w:numFmt w:val="decimal"/>
      <w:lvlText w:val="%1"/>
      <w:lvlJc w:val="left"/>
      <w:pPr>
        <w:ind w:left="360" w:hanging="360"/>
      </w:pPr>
      <w:rPr>
        <w:rFonts w:hint="default"/>
        <w:lang w:val="es-G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582A1421"/>
    <w:multiLevelType w:val="multilevel"/>
    <w:tmpl w:val="B63CCFB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B02801"/>
    <w:multiLevelType w:val="hybridMultilevel"/>
    <w:tmpl w:val="CDF232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9DE5F78"/>
    <w:multiLevelType w:val="multilevel"/>
    <w:tmpl w:val="B63CCFB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403D22"/>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5D1A7293"/>
    <w:multiLevelType w:val="hybridMultilevel"/>
    <w:tmpl w:val="574693B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5E9B22BF"/>
    <w:multiLevelType w:val="hybridMultilevel"/>
    <w:tmpl w:val="7D0EE6BA"/>
    <w:lvl w:ilvl="0" w:tplc="FD3A4A76">
      <w:start w:val="1"/>
      <w:numFmt w:val="lowerLetter"/>
      <w:lvlText w:val="%1."/>
      <w:lvlJc w:val="left"/>
      <w:pPr>
        <w:ind w:left="720" w:hanging="360"/>
      </w:pPr>
      <w:rPr>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5E9E267F"/>
    <w:multiLevelType w:val="hybridMultilevel"/>
    <w:tmpl w:val="B18CB37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6" w15:restartNumberingAfterBreak="0">
    <w:nsid w:val="627D15BE"/>
    <w:multiLevelType w:val="multilevel"/>
    <w:tmpl w:val="E6A25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9C3A2A"/>
    <w:multiLevelType w:val="hybridMultilevel"/>
    <w:tmpl w:val="36860404"/>
    <w:lvl w:ilvl="0" w:tplc="46F0C8B4">
      <w:start w:val="1"/>
      <w:numFmt w:val="bullet"/>
      <w:lvlText w:val="•"/>
      <w:lvlJc w:val="left"/>
      <w:pPr>
        <w:tabs>
          <w:tab w:val="num" w:pos="720"/>
        </w:tabs>
        <w:ind w:left="720" w:hanging="360"/>
      </w:pPr>
      <w:rPr>
        <w:rFonts w:ascii="Arial" w:hAnsi="Arial" w:hint="default"/>
      </w:rPr>
    </w:lvl>
    <w:lvl w:ilvl="1" w:tplc="3640B6EE">
      <w:start w:val="82"/>
      <w:numFmt w:val="bullet"/>
      <w:lvlText w:val=""/>
      <w:lvlJc w:val="left"/>
      <w:pPr>
        <w:tabs>
          <w:tab w:val="num" w:pos="1440"/>
        </w:tabs>
        <w:ind w:left="1440" w:hanging="360"/>
      </w:pPr>
      <w:rPr>
        <w:rFonts w:ascii="Wingdings" w:hAnsi="Wingdings" w:hint="default"/>
      </w:rPr>
    </w:lvl>
    <w:lvl w:ilvl="2" w:tplc="803E46F8">
      <w:start w:val="82"/>
      <w:numFmt w:val="bullet"/>
      <w:lvlText w:val=""/>
      <w:lvlJc w:val="left"/>
      <w:pPr>
        <w:tabs>
          <w:tab w:val="num" w:pos="2160"/>
        </w:tabs>
        <w:ind w:left="2160" w:hanging="360"/>
      </w:pPr>
      <w:rPr>
        <w:rFonts w:ascii="Wingdings" w:hAnsi="Wingdings" w:hint="default"/>
      </w:rPr>
    </w:lvl>
    <w:lvl w:ilvl="3" w:tplc="E9BEBE16" w:tentative="1">
      <w:start w:val="1"/>
      <w:numFmt w:val="bullet"/>
      <w:lvlText w:val="•"/>
      <w:lvlJc w:val="left"/>
      <w:pPr>
        <w:tabs>
          <w:tab w:val="num" w:pos="2880"/>
        </w:tabs>
        <w:ind w:left="2880" w:hanging="360"/>
      </w:pPr>
      <w:rPr>
        <w:rFonts w:ascii="Arial" w:hAnsi="Arial" w:hint="default"/>
      </w:rPr>
    </w:lvl>
    <w:lvl w:ilvl="4" w:tplc="E7928B86" w:tentative="1">
      <w:start w:val="1"/>
      <w:numFmt w:val="bullet"/>
      <w:lvlText w:val="•"/>
      <w:lvlJc w:val="left"/>
      <w:pPr>
        <w:tabs>
          <w:tab w:val="num" w:pos="3600"/>
        </w:tabs>
        <w:ind w:left="3600" w:hanging="360"/>
      </w:pPr>
      <w:rPr>
        <w:rFonts w:ascii="Arial" w:hAnsi="Arial" w:hint="default"/>
      </w:rPr>
    </w:lvl>
    <w:lvl w:ilvl="5" w:tplc="FA6205C2" w:tentative="1">
      <w:start w:val="1"/>
      <w:numFmt w:val="bullet"/>
      <w:lvlText w:val="•"/>
      <w:lvlJc w:val="left"/>
      <w:pPr>
        <w:tabs>
          <w:tab w:val="num" w:pos="4320"/>
        </w:tabs>
        <w:ind w:left="4320" w:hanging="360"/>
      </w:pPr>
      <w:rPr>
        <w:rFonts w:ascii="Arial" w:hAnsi="Arial" w:hint="default"/>
      </w:rPr>
    </w:lvl>
    <w:lvl w:ilvl="6" w:tplc="3B56D9A4" w:tentative="1">
      <w:start w:val="1"/>
      <w:numFmt w:val="bullet"/>
      <w:lvlText w:val="•"/>
      <w:lvlJc w:val="left"/>
      <w:pPr>
        <w:tabs>
          <w:tab w:val="num" w:pos="5040"/>
        </w:tabs>
        <w:ind w:left="5040" w:hanging="360"/>
      </w:pPr>
      <w:rPr>
        <w:rFonts w:ascii="Arial" w:hAnsi="Arial" w:hint="default"/>
      </w:rPr>
    </w:lvl>
    <w:lvl w:ilvl="7" w:tplc="FF32ECCC" w:tentative="1">
      <w:start w:val="1"/>
      <w:numFmt w:val="bullet"/>
      <w:lvlText w:val="•"/>
      <w:lvlJc w:val="left"/>
      <w:pPr>
        <w:tabs>
          <w:tab w:val="num" w:pos="5760"/>
        </w:tabs>
        <w:ind w:left="5760" w:hanging="360"/>
      </w:pPr>
      <w:rPr>
        <w:rFonts w:ascii="Arial" w:hAnsi="Arial" w:hint="default"/>
      </w:rPr>
    </w:lvl>
    <w:lvl w:ilvl="8" w:tplc="DE920C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3E5119"/>
    <w:multiLevelType w:val="hybridMultilevel"/>
    <w:tmpl w:val="D05E2C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70CB5DA4"/>
    <w:multiLevelType w:val="hybridMultilevel"/>
    <w:tmpl w:val="E174D1C4"/>
    <w:lvl w:ilvl="0" w:tplc="80D2798C">
      <w:start w:val="1"/>
      <w:numFmt w:val="decimal"/>
      <w:lvlText w:val="%1."/>
      <w:lvlJc w:val="left"/>
      <w:pPr>
        <w:ind w:left="720" w:hanging="360"/>
      </w:pPr>
      <w:rPr>
        <w:b/>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336333D"/>
    <w:multiLevelType w:val="hybridMultilevel"/>
    <w:tmpl w:val="C3B0B7DE"/>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1" w15:restartNumberingAfterBreak="0">
    <w:nsid w:val="73985C45"/>
    <w:multiLevelType w:val="hybridMultilevel"/>
    <w:tmpl w:val="0C14AC04"/>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2" w15:restartNumberingAfterBreak="0">
    <w:nsid w:val="7399089C"/>
    <w:multiLevelType w:val="hybridMultilevel"/>
    <w:tmpl w:val="EE7CC6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15:restartNumberingAfterBreak="0">
    <w:nsid w:val="75050691"/>
    <w:multiLevelType w:val="hybridMultilevel"/>
    <w:tmpl w:val="ED325860"/>
    <w:lvl w:ilvl="0" w:tplc="BDAE2E86">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7BD86473"/>
    <w:multiLevelType w:val="hybridMultilevel"/>
    <w:tmpl w:val="AFA85F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5" w15:restartNumberingAfterBreak="0">
    <w:nsid w:val="7E490913"/>
    <w:multiLevelType w:val="hybridMultilevel"/>
    <w:tmpl w:val="8D88FC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6" w15:restartNumberingAfterBreak="0">
    <w:nsid w:val="7FC208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7054732">
    <w:abstractNumId w:val="28"/>
  </w:num>
  <w:num w:numId="2" w16cid:durableId="1222517808">
    <w:abstractNumId w:val="26"/>
  </w:num>
  <w:num w:numId="3" w16cid:durableId="1924677447">
    <w:abstractNumId w:val="14"/>
  </w:num>
  <w:num w:numId="4" w16cid:durableId="1175725329">
    <w:abstractNumId w:val="13"/>
  </w:num>
  <w:num w:numId="5" w16cid:durableId="1189221248">
    <w:abstractNumId w:val="32"/>
  </w:num>
  <w:num w:numId="6" w16cid:durableId="1449348854">
    <w:abstractNumId w:val="44"/>
  </w:num>
  <w:num w:numId="7" w16cid:durableId="66462549">
    <w:abstractNumId w:val="33"/>
  </w:num>
  <w:num w:numId="8" w16cid:durableId="539823501">
    <w:abstractNumId w:val="5"/>
  </w:num>
  <w:num w:numId="9" w16cid:durableId="1655602029">
    <w:abstractNumId w:val="4"/>
  </w:num>
  <w:num w:numId="10" w16cid:durableId="1549608164">
    <w:abstractNumId w:val="21"/>
  </w:num>
  <w:num w:numId="11" w16cid:durableId="1988128837">
    <w:abstractNumId w:val="22"/>
  </w:num>
  <w:num w:numId="12" w16cid:durableId="185825992">
    <w:abstractNumId w:val="25"/>
  </w:num>
  <w:num w:numId="13" w16cid:durableId="2077897034">
    <w:abstractNumId w:val="34"/>
  </w:num>
  <w:num w:numId="14" w16cid:durableId="319970139">
    <w:abstractNumId w:val="29"/>
  </w:num>
  <w:num w:numId="15" w16cid:durableId="518809940">
    <w:abstractNumId w:val="8"/>
  </w:num>
  <w:num w:numId="16" w16cid:durableId="1660690084">
    <w:abstractNumId w:val="1"/>
  </w:num>
  <w:num w:numId="17" w16cid:durableId="1606304910">
    <w:abstractNumId w:val="18"/>
  </w:num>
  <w:num w:numId="18" w16cid:durableId="2040468449">
    <w:abstractNumId w:val="24"/>
  </w:num>
  <w:num w:numId="19" w16cid:durableId="2140494147">
    <w:abstractNumId w:val="37"/>
  </w:num>
  <w:num w:numId="20" w16cid:durableId="1484194737">
    <w:abstractNumId w:val="17"/>
  </w:num>
  <w:num w:numId="21" w16cid:durableId="582956752">
    <w:abstractNumId w:val="39"/>
  </w:num>
  <w:num w:numId="22" w16cid:durableId="1549608982">
    <w:abstractNumId w:val="41"/>
  </w:num>
  <w:num w:numId="23" w16cid:durableId="1974091166">
    <w:abstractNumId w:val="16"/>
  </w:num>
  <w:num w:numId="24" w16cid:durableId="1477575385">
    <w:abstractNumId w:val="16"/>
  </w:num>
  <w:num w:numId="25" w16cid:durableId="559365702">
    <w:abstractNumId w:val="10"/>
  </w:num>
  <w:num w:numId="26" w16cid:durableId="794444831">
    <w:abstractNumId w:val="3"/>
  </w:num>
  <w:num w:numId="27" w16cid:durableId="113209875">
    <w:abstractNumId w:val="38"/>
  </w:num>
  <w:num w:numId="28" w16cid:durableId="49774062">
    <w:abstractNumId w:val="11"/>
  </w:num>
  <w:num w:numId="29" w16cid:durableId="232203754">
    <w:abstractNumId w:val="15"/>
  </w:num>
  <w:num w:numId="30" w16cid:durableId="1714229621">
    <w:abstractNumId w:val="43"/>
  </w:num>
  <w:num w:numId="31" w16cid:durableId="356200400">
    <w:abstractNumId w:val="2"/>
  </w:num>
  <w:num w:numId="32" w16cid:durableId="633676507">
    <w:abstractNumId w:val="36"/>
  </w:num>
  <w:num w:numId="33" w16cid:durableId="2104493920">
    <w:abstractNumId w:val="45"/>
  </w:num>
  <w:num w:numId="34" w16cid:durableId="330530342">
    <w:abstractNumId w:val="20"/>
  </w:num>
  <w:num w:numId="35" w16cid:durableId="2013026712">
    <w:abstractNumId w:val="12"/>
  </w:num>
  <w:num w:numId="36" w16cid:durableId="1051075230">
    <w:abstractNumId w:val="46"/>
  </w:num>
  <w:num w:numId="37" w16cid:durableId="1921526422">
    <w:abstractNumId w:val="35"/>
  </w:num>
  <w:num w:numId="38" w16cid:durableId="811754114">
    <w:abstractNumId w:val="23"/>
  </w:num>
  <w:num w:numId="39" w16cid:durableId="367067528">
    <w:abstractNumId w:val="31"/>
  </w:num>
  <w:num w:numId="40" w16cid:durableId="603852774">
    <w:abstractNumId w:val="7"/>
  </w:num>
  <w:num w:numId="41" w16cid:durableId="704673066">
    <w:abstractNumId w:val="27"/>
  </w:num>
  <w:num w:numId="42" w16cid:durableId="1675106512">
    <w:abstractNumId w:val="30"/>
  </w:num>
  <w:num w:numId="43" w16cid:durableId="870528786">
    <w:abstractNumId w:val="9"/>
  </w:num>
  <w:num w:numId="44" w16cid:durableId="1225261507">
    <w:abstractNumId w:val="6"/>
  </w:num>
  <w:num w:numId="45" w16cid:durableId="537358310">
    <w:abstractNumId w:val="40"/>
  </w:num>
  <w:num w:numId="46" w16cid:durableId="1935287791">
    <w:abstractNumId w:val="19"/>
  </w:num>
  <w:num w:numId="47" w16cid:durableId="1958026032">
    <w:abstractNumId w:val="0"/>
  </w:num>
  <w:num w:numId="48" w16cid:durableId="125088872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98"/>
    <w:rsid w:val="0000001E"/>
    <w:rsid w:val="00000188"/>
    <w:rsid w:val="000002AE"/>
    <w:rsid w:val="000003CC"/>
    <w:rsid w:val="00000530"/>
    <w:rsid w:val="000006A8"/>
    <w:rsid w:val="00000926"/>
    <w:rsid w:val="00001278"/>
    <w:rsid w:val="000012A4"/>
    <w:rsid w:val="000013F6"/>
    <w:rsid w:val="0000165C"/>
    <w:rsid w:val="0000167B"/>
    <w:rsid w:val="000019FB"/>
    <w:rsid w:val="00001B7A"/>
    <w:rsid w:val="00001ED4"/>
    <w:rsid w:val="00002881"/>
    <w:rsid w:val="00002B35"/>
    <w:rsid w:val="000032AE"/>
    <w:rsid w:val="000038B1"/>
    <w:rsid w:val="00003BA5"/>
    <w:rsid w:val="000045FB"/>
    <w:rsid w:val="00004C61"/>
    <w:rsid w:val="00004DCF"/>
    <w:rsid w:val="00004F16"/>
    <w:rsid w:val="00005674"/>
    <w:rsid w:val="00005925"/>
    <w:rsid w:val="00005EB8"/>
    <w:rsid w:val="00006172"/>
    <w:rsid w:val="000065D5"/>
    <w:rsid w:val="0000665E"/>
    <w:rsid w:val="000073D2"/>
    <w:rsid w:val="00007F68"/>
    <w:rsid w:val="000106AC"/>
    <w:rsid w:val="000108BE"/>
    <w:rsid w:val="00010D58"/>
    <w:rsid w:val="000115A2"/>
    <w:rsid w:val="000121A8"/>
    <w:rsid w:val="00012781"/>
    <w:rsid w:val="00012ACD"/>
    <w:rsid w:val="00012DD7"/>
    <w:rsid w:val="00012FB4"/>
    <w:rsid w:val="0001329E"/>
    <w:rsid w:val="000134F1"/>
    <w:rsid w:val="00013BEC"/>
    <w:rsid w:val="00013C44"/>
    <w:rsid w:val="00013ECF"/>
    <w:rsid w:val="00013FC9"/>
    <w:rsid w:val="00014246"/>
    <w:rsid w:val="0001429E"/>
    <w:rsid w:val="00014D0D"/>
    <w:rsid w:val="00014EAD"/>
    <w:rsid w:val="00014F25"/>
    <w:rsid w:val="00015107"/>
    <w:rsid w:val="00015370"/>
    <w:rsid w:val="00015674"/>
    <w:rsid w:val="00015AE5"/>
    <w:rsid w:val="00016805"/>
    <w:rsid w:val="00016CEF"/>
    <w:rsid w:val="00017427"/>
    <w:rsid w:val="000176CE"/>
    <w:rsid w:val="00017D51"/>
    <w:rsid w:val="00017FF6"/>
    <w:rsid w:val="00020733"/>
    <w:rsid w:val="00020904"/>
    <w:rsid w:val="0002091B"/>
    <w:rsid w:val="00020D03"/>
    <w:rsid w:val="00020F69"/>
    <w:rsid w:val="000212B0"/>
    <w:rsid w:val="0002188F"/>
    <w:rsid w:val="00021FD5"/>
    <w:rsid w:val="000222CE"/>
    <w:rsid w:val="00022F9D"/>
    <w:rsid w:val="0002314E"/>
    <w:rsid w:val="000234AC"/>
    <w:rsid w:val="00023745"/>
    <w:rsid w:val="000237CB"/>
    <w:rsid w:val="000238F3"/>
    <w:rsid w:val="00023981"/>
    <w:rsid w:val="00023ADD"/>
    <w:rsid w:val="00023DC8"/>
    <w:rsid w:val="00024165"/>
    <w:rsid w:val="000245CA"/>
    <w:rsid w:val="00024BD6"/>
    <w:rsid w:val="00024BF7"/>
    <w:rsid w:val="00024DE4"/>
    <w:rsid w:val="00024F89"/>
    <w:rsid w:val="00024FF6"/>
    <w:rsid w:val="0002503D"/>
    <w:rsid w:val="00025456"/>
    <w:rsid w:val="00025827"/>
    <w:rsid w:val="00025B90"/>
    <w:rsid w:val="0002670B"/>
    <w:rsid w:val="000267E3"/>
    <w:rsid w:val="000268DF"/>
    <w:rsid w:val="00026985"/>
    <w:rsid w:val="00026B80"/>
    <w:rsid w:val="00026FD8"/>
    <w:rsid w:val="00027A8F"/>
    <w:rsid w:val="00027D48"/>
    <w:rsid w:val="000306FE"/>
    <w:rsid w:val="000309EC"/>
    <w:rsid w:val="00031937"/>
    <w:rsid w:val="00031A96"/>
    <w:rsid w:val="00032230"/>
    <w:rsid w:val="0003257D"/>
    <w:rsid w:val="000326D8"/>
    <w:rsid w:val="00032B26"/>
    <w:rsid w:val="00033312"/>
    <w:rsid w:val="0003331E"/>
    <w:rsid w:val="0003343E"/>
    <w:rsid w:val="00033638"/>
    <w:rsid w:val="00033A52"/>
    <w:rsid w:val="00033B15"/>
    <w:rsid w:val="00033DB1"/>
    <w:rsid w:val="00033E94"/>
    <w:rsid w:val="000347FD"/>
    <w:rsid w:val="00034931"/>
    <w:rsid w:val="00035952"/>
    <w:rsid w:val="00035C14"/>
    <w:rsid w:val="00035E51"/>
    <w:rsid w:val="0003648B"/>
    <w:rsid w:val="00036843"/>
    <w:rsid w:val="000369C8"/>
    <w:rsid w:val="0003766B"/>
    <w:rsid w:val="000405FF"/>
    <w:rsid w:val="000410C1"/>
    <w:rsid w:val="0004120F"/>
    <w:rsid w:val="00041505"/>
    <w:rsid w:val="00041776"/>
    <w:rsid w:val="00041AA6"/>
    <w:rsid w:val="00041E08"/>
    <w:rsid w:val="0004212A"/>
    <w:rsid w:val="00042669"/>
    <w:rsid w:val="00042AA3"/>
    <w:rsid w:val="00043B88"/>
    <w:rsid w:val="000441F1"/>
    <w:rsid w:val="000449B7"/>
    <w:rsid w:val="00044A1E"/>
    <w:rsid w:val="00044AF8"/>
    <w:rsid w:val="000453CA"/>
    <w:rsid w:val="00045570"/>
    <w:rsid w:val="000455DB"/>
    <w:rsid w:val="00045861"/>
    <w:rsid w:val="00045CD6"/>
    <w:rsid w:val="00046004"/>
    <w:rsid w:val="00046060"/>
    <w:rsid w:val="0004612F"/>
    <w:rsid w:val="00046E34"/>
    <w:rsid w:val="00046F9F"/>
    <w:rsid w:val="000476BB"/>
    <w:rsid w:val="000476F2"/>
    <w:rsid w:val="0004778B"/>
    <w:rsid w:val="00047AF2"/>
    <w:rsid w:val="000500D6"/>
    <w:rsid w:val="00050721"/>
    <w:rsid w:val="000508F6"/>
    <w:rsid w:val="00051734"/>
    <w:rsid w:val="00051855"/>
    <w:rsid w:val="00051879"/>
    <w:rsid w:val="00051BBF"/>
    <w:rsid w:val="00051FFC"/>
    <w:rsid w:val="0005215A"/>
    <w:rsid w:val="00053294"/>
    <w:rsid w:val="00053482"/>
    <w:rsid w:val="00053A65"/>
    <w:rsid w:val="00053AD6"/>
    <w:rsid w:val="00053DB7"/>
    <w:rsid w:val="00053F58"/>
    <w:rsid w:val="0005529E"/>
    <w:rsid w:val="000552A7"/>
    <w:rsid w:val="00055614"/>
    <w:rsid w:val="00055725"/>
    <w:rsid w:val="00055925"/>
    <w:rsid w:val="00055A1B"/>
    <w:rsid w:val="00055B22"/>
    <w:rsid w:val="00055D08"/>
    <w:rsid w:val="00055DD0"/>
    <w:rsid w:val="00056B9D"/>
    <w:rsid w:val="00056E8E"/>
    <w:rsid w:val="000572DF"/>
    <w:rsid w:val="0005754C"/>
    <w:rsid w:val="00057827"/>
    <w:rsid w:val="00057B7D"/>
    <w:rsid w:val="00057EB8"/>
    <w:rsid w:val="00060974"/>
    <w:rsid w:val="000617F8"/>
    <w:rsid w:val="00061975"/>
    <w:rsid w:val="00061E2E"/>
    <w:rsid w:val="0006231C"/>
    <w:rsid w:val="00062CBA"/>
    <w:rsid w:val="00062E16"/>
    <w:rsid w:val="00062ED8"/>
    <w:rsid w:val="00063068"/>
    <w:rsid w:val="00063364"/>
    <w:rsid w:val="00063373"/>
    <w:rsid w:val="00063A1D"/>
    <w:rsid w:val="00063CB5"/>
    <w:rsid w:val="000642AF"/>
    <w:rsid w:val="0006477B"/>
    <w:rsid w:val="00064BA9"/>
    <w:rsid w:val="00064C1C"/>
    <w:rsid w:val="00064EA8"/>
    <w:rsid w:val="00065259"/>
    <w:rsid w:val="00065451"/>
    <w:rsid w:val="000654B6"/>
    <w:rsid w:val="000655A9"/>
    <w:rsid w:val="0006595D"/>
    <w:rsid w:val="00065991"/>
    <w:rsid w:val="00065C24"/>
    <w:rsid w:val="00066095"/>
    <w:rsid w:val="0006610F"/>
    <w:rsid w:val="00066283"/>
    <w:rsid w:val="00066286"/>
    <w:rsid w:val="0006680E"/>
    <w:rsid w:val="00066CB8"/>
    <w:rsid w:val="00066CD1"/>
    <w:rsid w:val="00067459"/>
    <w:rsid w:val="00067741"/>
    <w:rsid w:val="000678AC"/>
    <w:rsid w:val="00067AD8"/>
    <w:rsid w:val="00067B4A"/>
    <w:rsid w:val="00070108"/>
    <w:rsid w:val="00070552"/>
    <w:rsid w:val="000705C1"/>
    <w:rsid w:val="000706ED"/>
    <w:rsid w:val="000707A3"/>
    <w:rsid w:val="00070899"/>
    <w:rsid w:val="000708B3"/>
    <w:rsid w:val="00070A2D"/>
    <w:rsid w:val="00070E63"/>
    <w:rsid w:val="00071109"/>
    <w:rsid w:val="00071810"/>
    <w:rsid w:val="00071B55"/>
    <w:rsid w:val="00071CAF"/>
    <w:rsid w:val="00071DD6"/>
    <w:rsid w:val="00072136"/>
    <w:rsid w:val="00072460"/>
    <w:rsid w:val="00072BAA"/>
    <w:rsid w:val="00072C8D"/>
    <w:rsid w:val="0007319D"/>
    <w:rsid w:val="00073457"/>
    <w:rsid w:val="000736AA"/>
    <w:rsid w:val="000737A4"/>
    <w:rsid w:val="00073E1B"/>
    <w:rsid w:val="00073EAA"/>
    <w:rsid w:val="00073F0A"/>
    <w:rsid w:val="000740F4"/>
    <w:rsid w:val="000741A3"/>
    <w:rsid w:val="00074337"/>
    <w:rsid w:val="00074476"/>
    <w:rsid w:val="00074844"/>
    <w:rsid w:val="00074C38"/>
    <w:rsid w:val="00075216"/>
    <w:rsid w:val="000754D5"/>
    <w:rsid w:val="00076415"/>
    <w:rsid w:val="00076794"/>
    <w:rsid w:val="0007736A"/>
    <w:rsid w:val="00077425"/>
    <w:rsid w:val="0007767A"/>
    <w:rsid w:val="00077719"/>
    <w:rsid w:val="0008040F"/>
    <w:rsid w:val="0008050E"/>
    <w:rsid w:val="00080F11"/>
    <w:rsid w:val="00080F5E"/>
    <w:rsid w:val="00081810"/>
    <w:rsid w:val="00081A07"/>
    <w:rsid w:val="00081E99"/>
    <w:rsid w:val="00082333"/>
    <w:rsid w:val="000823E4"/>
    <w:rsid w:val="0008278D"/>
    <w:rsid w:val="00082DFF"/>
    <w:rsid w:val="00082E65"/>
    <w:rsid w:val="00083239"/>
    <w:rsid w:val="0008334E"/>
    <w:rsid w:val="000836FF"/>
    <w:rsid w:val="0008380C"/>
    <w:rsid w:val="00083DC1"/>
    <w:rsid w:val="00083DEF"/>
    <w:rsid w:val="00083EE3"/>
    <w:rsid w:val="000846BE"/>
    <w:rsid w:val="00084748"/>
    <w:rsid w:val="000852BF"/>
    <w:rsid w:val="000853F6"/>
    <w:rsid w:val="000858E9"/>
    <w:rsid w:val="00085E1C"/>
    <w:rsid w:val="0008619F"/>
    <w:rsid w:val="000865AA"/>
    <w:rsid w:val="00086C6E"/>
    <w:rsid w:val="00087430"/>
    <w:rsid w:val="00087551"/>
    <w:rsid w:val="0008775B"/>
    <w:rsid w:val="00087EC1"/>
    <w:rsid w:val="00087EE1"/>
    <w:rsid w:val="00087EFB"/>
    <w:rsid w:val="00090202"/>
    <w:rsid w:val="00090AF4"/>
    <w:rsid w:val="00090C53"/>
    <w:rsid w:val="00091132"/>
    <w:rsid w:val="000918BC"/>
    <w:rsid w:val="00091942"/>
    <w:rsid w:val="00091A7F"/>
    <w:rsid w:val="00091E02"/>
    <w:rsid w:val="00092209"/>
    <w:rsid w:val="00092A19"/>
    <w:rsid w:val="00093371"/>
    <w:rsid w:val="00093705"/>
    <w:rsid w:val="0009397A"/>
    <w:rsid w:val="00093A1B"/>
    <w:rsid w:val="00094050"/>
    <w:rsid w:val="000944FE"/>
    <w:rsid w:val="00094A23"/>
    <w:rsid w:val="00094E26"/>
    <w:rsid w:val="0009511C"/>
    <w:rsid w:val="00095331"/>
    <w:rsid w:val="000958AF"/>
    <w:rsid w:val="00096497"/>
    <w:rsid w:val="00096AC3"/>
    <w:rsid w:val="00096FA6"/>
    <w:rsid w:val="00097862"/>
    <w:rsid w:val="00097889"/>
    <w:rsid w:val="00097C7C"/>
    <w:rsid w:val="000A09ED"/>
    <w:rsid w:val="000A1A0B"/>
    <w:rsid w:val="000A1AB2"/>
    <w:rsid w:val="000A1BF3"/>
    <w:rsid w:val="000A2C08"/>
    <w:rsid w:val="000A2D14"/>
    <w:rsid w:val="000A2D19"/>
    <w:rsid w:val="000A2D1D"/>
    <w:rsid w:val="000A424A"/>
    <w:rsid w:val="000A47FE"/>
    <w:rsid w:val="000A4A23"/>
    <w:rsid w:val="000A4AD2"/>
    <w:rsid w:val="000A5922"/>
    <w:rsid w:val="000A5B5B"/>
    <w:rsid w:val="000A5E16"/>
    <w:rsid w:val="000A5FC5"/>
    <w:rsid w:val="000A60A1"/>
    <w:rsid w:val="000A65D1"/>
    <w:rsid w:val="000A6C58"/>
    <w:rsid w:val="000A6C8D"/>
    <w:rsid w:val="000A74BA"/>
    <w:rsid w:val="000A7DD5"/>
    <w:rsid w:val="000A7E28"/>
    <w:rsid w:val="000B01D3"/>
    <w:rsid w:val="000B04CE"/>
    <w:rsid w:val="000B057B"/>
    <w:rsid w:val="000B070A"/>
    <w:rsid w:val="000B072C"/>
    <w:rsid w:val="000B07D1"/>
    <w:rsid w:val="000B0866"/>
    <w:rsid w:val="000B0CA2"/>
    <w:rsid w:val="000B0FCB"/>
    <w:rsid w:val="000B11B8"/>
    <w:rsid w:val="000B12F0"/>
    <w:rsid w:val="000B1376"/>
    <w:rsid w:val="000B1763"/>
    <w:rsid w:val="000B1C5F"/>
    <w:rsid w:val="000B1E68"/>
    <w:rsid w:val="000B20C3"/>
    <w:rsid w:val="000B2481"/>
    <w:rsid w:val="000B2992"/>
    <w:rsid w:val="000B29FE"/>
    <w:rsid w:val="000B2E7A"/>
    <w:rsid w:val="000B346C"/>
    <w:rsid w:val="000B3E87"/>
    <w:rsid w:val="000B404E"/>
    <w:rsid w:val="000B4083"/>
    <w:rsid w:val="000B4154"/>
    <w:rsid w:val="000B46D9"/>
    <w:rsid w:val="000B4929"/>
    <w:rsid w:val="000B4A3D"/>
    <w:rsid w:val="000B5075"/>
    <w:rsid w:val="000B5388"/>
    <w:rsid w:val="000B5A6C"/>
    <w:rsid w:val="000B5CD0"/>
    <w:rsid w:val="000B5E1C"/>
    <w:rsid w:val="000B607E"/>
    <w:rsid w:val="000B6143"/>
    <w:rsid w:val="000B6B1B"/>
    <w:rsid w:val="000B6D0C"/>
    <w:rsid w:val="000B72EA"/>
    <w:rsid w:val="000B75A4"/>
    <w:rsid w:val="000B76E1"/>
    <w:rsid w:val="000B778D"/>
    <w:rsid w:val="000C0275"/>
    <w:rsid w:val="000C0470"/>
    <w:rsid w:val="000C070B"/>
    <w:rsid w:val="000C0E21"/>
    <w:rsid w:val="000C10D5"/>
    <w:rsid w:val="000C15A8"/>
    <w:rsid w:val="000C18E5"/>
    <w:rsid w:val="000C1B89"/>
    <w:rsid w:val="000C1CC5"/>
    <w:rsid w:val="000C1F8D"/>
    <w:rsid w:val="000C20CC"/>
    <w:rsid w:val="000C25EB"/>
    <w:rsid w:val="000C277C"/>
    <w:rsid w:val="000C27C6"/>
    <w:rsid w:val="000C283B"/>
    <w:rsid w:val="000C2BF7"/>
    <w:rsid w:val="000C3476"/>
    <w:rsid w:val="000C3496"/>
    <w:rsid w:val="000C3815"/>
    <w:rsid w:val="000C3E95"/>
    <w:rsid w:val="000C487F"/>
    <w:rsid w:val="000C4AD1"/>
    <w:rsid w:val="000C51BD"/>
    <w:rsid w:val="000C51D3"/>
    <w:rsid w:val="000C5320"/>
    <w:rsid w:val="000C54D3"/>
    <w:rsid w:val="000C5BA6"/>
    <w:rsid w:val="000C5BDD"/>
    <w:rsid w:val="000C6097"/>
    <w:rsid w:val="000C662D"/>
    <w:rsid w:val="000C6B55"/>
    <w:rsid w:val="000C6BE5"/>
    <w:rsid w:val="000C7076"/>
    <w:rsid w:val="000C71BD"/>
    <w:rsid w:val="000C795B"/>
    <w:rsid w:val="000C7961"/>
    <w:rsid w:val="000C7E9B"/>
    <w:rsid w:val="000D0188"/>
    <w:rsid w:val="000D1059"/>
    <w:rsid w:val="000D153C"/>
    <w:rsid w:val="000D15A1"/>
    <w:rsid w:val="000D17AF"/>
    <w:rsid w:val="000D2677"/>
    <w:rsid w:val="000D2952"/>
    <w:rsid w:val="000D29F4"/>
    <w:rsid w:val="000D2CF4"/>
    <w:rsid w:val="000D2D05"/>
    <w:rsid w:val="000D2DE9"/>
    <w:rsid w:val="000D2DF6"/>
    <w:rsid w:val="000D2F4D"/>
    <w:rsid w:val="000D34A3"/>
    <w:rsid w:val="000D3566"/>
    <w:rsid w:val="000D365F"/>
    <w:rsid w:val="000D3B2E"/>
    <w:rsid w:val="000D3F40"/>
    <w:rsid w:val="000D3F6A"/>
    <w:rsid w:val="000D42F8"/>
    <w:rsid w:val="000D4B4D"/>
    <w:rsid w:val="000D4B80"/>
    <w:rsid w:val="000D4BC3"/>
    <w:rsid w:val="000D4CB3"/>
    <w:rsid w:val="000D515B"/>
    <w:rsid w:val="000D57BA"/>
    <w:rsid w:val="000D58D6"/>
    <w:rsid w:val="000D58E9"/>
    <w:rsid w:val="000D5BE8"/>
    <w:rsid w:val="000D734F"/>
    <w:rsid w:val="000D73A6"/>
    <w:rsid w:val="000D7477"/>
    <w:rsid w:val="000D7805"/>
    <w:rsid w:val="000D7EEB"/>
    <w:rsid w:val="000E0059"/>
    <w:rsid w:val="000E055B"/>
    <w:rsid w:val="000E058F"/>
    <w:rsid w:val="000E08B2"/>
    <w:rsid w:val="000E0D12"/>
    <w:rsid w:val="000E0DAA"/>
    <w:rsid w:val="000E0E1E"/>
    <w:rsid w:val="000E0EB5"/>
    <w:rsid w:val="000E0F3C"/>
    <w:rsid w:val="000E1495"/>
    <w:rsid w:val="000E193E"/>
    <w:rsid w:val="000E1D6B"/>
    <w:rsid w:val="000E28B4"/>
    <w:rsid w:val="000E3036"/>
    <w:rsid w:val="000E306F"/>
    <w:rsid w:val="000E3B60"/>
    <w:rsid w:val="000E3BAE"/>
    <w:rsid w:val="000E3E7A"/>
    <w:rsid w:val="000E4641"/>
    <w:rsid w:val="000E488C"/>
    <w:rsid w:val="000E4E2E"/>
    <w:rsid w:val="000E51BC"/>
    <w:rsid w:val="000E56E2"/>
    <w:rsid w:val="000E570F"/>
    <w:rsid w:val="000E5739"/>
    <w:rsid w:val="000E57A1"/>
    <w:rsid w:val="000E5997"/>
    <w:rsid w:val="000E5A40"/>
    <w:rsid w:val="000E5B2A"/>
    <w:rsid w:val="000E5CCD"/>
    <w:rsid w:val="000E5D0D"/>
    <w:rsid w:val="000E5EC7"/>
    <w:rsid w:val="000E5EE6"/>
    <w:rsid w:val="000E60F8"/>
    <w:rsid w:val="000E631D"/>
    <w:rsid w:val="000E6989"/>
    <w:rsid w:val="000E7209"/>
    <w:rsid w:val="000E7387"/>
    <w:rsid w:val="000E76F1"/>
    <w:rsid w:val="000E79A8"/>
    <w:rsid w:val="000E7AE8"/>
    <w:rsid w:val="000F049B"/>
    <w:rsid w:val="000F058D"/>
    <w:rsid w:val="000F0D3B"/>
    <w:rsid w:val="000F0DA3"/>
    <w:rsid w:val="000F1214"/>
    <w:rsid w:val="000F19C1"/>
    <w:rsid w:val="000F211F"/>
    <w:rsid w:val="000F2939"/>
    <w:rsid w:val="000F2D5F"/>
    <w:rsid w:val="000F3450"/>
    <w:rsid w:val="000F3942"/>
    <w:rsid w:val="000F3AC7"/>
    <w:rsid w:val="000F416D"/>
    <w:rsid w:val="000F41CA"/>
    <w:rsid w:val="000F4380"/>
    <w:rsid w:val="000F45C8"/>
    <w:rsid w:val="000F462B"/>
    <w:rsid w:val="000F4B0C"/>
    <w:rsid w:val="000F4C40"/>
    <w:rsid w:val="000F4F51"/>
    <w:rsid w:val="000F5067"/>
    <w:rsid w:val="000F53ED"/>
    <w:rsid w:val="000F55E5"/>
    <w:rsid w:val="000F62DA"/>
    <w:rsid w:val="000F67B9"/>
    <w:rsid w:val="000F7C74"/>
    <w:rsid w:val="001008B0"/>
    <w:rsid w:val="001009C9"/>
    <w:rsid w:val="00100D98"/>
    <w:rsid w:val="00100FAB"/>
    <w:rsid w:val="00101051"/>
    <w:rsid w:val="00101192"/>
    <w:rsid w:val="001012BA"/>
    <w:rsid w:val="001016EC"/>
    <w:rsid w:val="00101781"/>
    <w:rsid w:val="00101A90"/>
    <w:rsid w:val="00101FE5"/>
    <w:rsid w:val="0010220A"/>
    <w:rsid w:val="00102276"/>
    <w:rsid w:val="001023B3"/>
    <w:rsid w:val="001030E8"/>
    <w:rsid w:val="00103354"/>
    <w:rsid w:val="00103E94"/>
    <w:rsid w:val="00103FCC"/>
    <w:rsid w:val="00104347"/>
    <w:rsid w:val="001043AB"/>
    <w:rsid w:val="001057E4"/>
    <w:rsid w:val="00105C3B"/>
    <w:rsid w:val="00105CC5"/>
    <w:rsid w:val="00105EBF"/>
    <w:rsid w:val="00105FFE"/>
    <w:rsid w:val="001068D2"/>
    <w:rsid w:val="00106902"/>
    <w:rsid w:val="0010690C"/>
    <w:rsid w:val="00106959"/>
    <w:rsid w:val="001069AF"/>
    <w:rsid w:val="00106B8A"/>
    <w:rsid w:val="00106E19"/>
    <w:rsid w:val="00106EF4"/>
    <w:rsid w:val="0010734F"/>
    <w:rsid w:val="00107432"/>
    <w:rsid w:val="00107A66"/>
    <w:rsid w:val="00107B26"/>
    <w:rsid w:val="00107D8A"/>
    <w:rsid w:val="001100B3"/>
    <w:rsid w:val="0011022F"/>
    <w:rsid w:val="00110318"/>
    <w:rsid w:val="001107CB"/>
    <w:rsid w:val="001108D7"/>
    <w:rsid w:val="001111A3"/>
    <w:rsid w:val="00111626"/>
    <w:rsid w:val="00111CC3"/>
    <w:rsid w:val="00111D58"/>
    <w:rsid w:val="00112008"/>
    <w:rsid w:val="00112A52"/>
    <w:rsid w:val="00112EB2"/>
    <w:rsid w:val="00113405"/>
    <w:rsid w:val="00113850"/>
    <w:rsid w:val="00113A1E"/>
    <w:rsid w:val="00113D53"/>
    <w:rsid w:val="00114083"/>
    <w:rsid w:val="0011428C"/>
    <w:rsid w:val="0011429F"/>
    <w:rsid w:val="001142BF"/>
    <w:rsid w:val="001144CE"/>
    <w:rsid w:val="00114548"/>
    <w:rsid w:val="00114555"/>
    <w:rsid w:val="001147A1"/>
    <w:rsid w:val="001147F3"/>
    <w:rsid w:val="0011503F"/>
    <w:rsid w:val="00115772"/>
    <w:rsid w:val="00115AE0"/>
    <w:rsid w:val="00116127"/>
    <w:rsid w:val="00116481"/>
    <w:rsid w:val="00116A12"/>
    <w:rsid w:val="00117282"/>
    <w:rsid w:val="001173E1"/>
    <w:rsid w:val="0011743A"/>
    <w:rsid w:val="00117AC8"/>
    <w:rsid w:val="00117DB5"/>
    <w:rsid w:val="001209E8"/>
    <w:rsid w:val="00120BFC"/>
    <w:rsid w:val="00120FEC"/>
    <w:rsid w:val="00121349"/>
    <w:rsid w:val="001214B6"/>
    <w:rsid w:val="0012156D"/>
    <w:rsid w:val="00121649"/>
    <w:rsid w:val="00121A26"/>
    <w:rsid w:val="00121E60"/>
    <w:rsid w:val="00122043"/>
    <w:rsid w:val="0012258B"/>
    <w:rsid w:val="00122981"/>
    <w:rsid w:val="00122F2F"/>
    <w:rsid w:val="00122FDE"/>
    <w:rsid w:val="001234EA"/>
    <w:rsid w:val="0012357F"/>
    <w:rsid w:val="00123CB6"/>
    <w:rsid w:val="00125827"/>
    <w:rsid w:val="00125B34"/>
    <w:rsid w:val="00125D92"/>
    <w:rsid w:val="00125EF4"/>
    <w:rsid w:val="0012614D"/>
    <w:rsid w:val="0012656D"/>
    <w:rsid w:val="00126E0E"/>
    <w:rsid w:val="00126FD5"/>
    <w:rsid w:val="001270A4"/>
    <w:rsid w:val="0012716A"/>
    <w:rsid w:val="001273C0"/>
    <w:rsid w:val="00127460"/>
    <w:rsid w:val="0012763E"/>
    <w:rsid w:val="001276C3"/>
    <w:rsid w:val="0012782F"/>
    <w:rsid w:val="0012783A"/>
    <w:rsid w:val="00127D46"/>
    <w:rsid w:val="00127FBD"/>
    <w:rsid w:val="00130BCE"/>
    <w:rsid w:val="00131236"/>
    <w:rsid w:val="001313C1"/>
    <w:rsid w:val="00131669"/>
    <w:rsid w:val="001318FD"/>
    <w:rsid w:val="00131ABF"/>
    <w:rsid w:val="00131D6C"/>
    <w:rsid w:val="00131D79"/>
    <w:rsid w:val="00131F1C"/>
    <w:rsid w:val="0013204A"/>
    <w:rsid w:val="001323BD"/>
    <w:rsid w:val="00132DC4"/>
    <w:rsid w:val="00133083"/>
    <w:rsid w:val="00133625"/>
    <w:rsid w:val="0013422C"/>
    <w:rsid w:val="00134770"/>
    <w:rsid w:val="00134898"/>
    <w:rsid w:val="0013499D"/>
    <w:rsid w:val="00134A1A"/>
    <w:rsid w:val="00135143"/>
    <w:rsid w:val="00135308"/>
    <w:rsid w:val="001359D4"/>
    <w:rsid w:val="00135FB7"/>
    <w:rsid w:val="00136038"/>
    <w:rsid w:val="0013608E"/>
    <w:rsid w:val="00136243"/>
    <w:rsid w:val="00136341"/>
    <w:rsid w:val="00136AA1"/>
    <w:rsid w:val="00136F6F"/>
    <w:rsid w:val="001375AC"/>
    <w:rsid w:val="001401B1"/>
    <w:rsid w:val="0014044D"/>
    <w:rsid w:val="00140561"/>
    <w:rsid w:val="001408F3"/>
    <w:rsid w:val="0014119A"/>
    <w:rsid w:val="00141216"/>
    <w:rsid w:val="00141323"/>
    <w:rsid w:val="0014145A"/>
    <w:rsid w:val="00141467"/>
    <w:rsid w:val="0014161C"/>
    <w:rsid w:val="00141CCF"/>
    <w:rsid w:val="00141D10"/>
    <w:rsid w:val="001427D5"/>
    <w:rsid w:val="0014299E"/>
    <w:rsid w:val="00142F42"/>
    <w:rsid w:val="00143321"/>
    <w:rsid w:val="00143517"/>
    <w:rsid w:val="00143578"/>
    <w:rsid w:val="001440DB"/>
    <w:rsid w:val="00144147"/>
    <w:rsid w:val="00144909"/>
    <w:rsid w:val="00144962"/>
    <w:rsid w:val="00144A82"/>
    <w:rsid w:val="00144D8F"/>
    <w:rsid w:val="00145433"/>
    <w:rsid w:val="00145AE6"/>
    <w:rsid w:val="0014637C"/>
    <w:rsid w:val="00146B11"/>
    <w:rsid w:val="00146C6D"/>
    <w:rsid w:val="00146E1A"/>
    <w:rsid w:val="001470BF"/>
    <w:rsid w:val="0014747D"/>
    <w:rsid w:val="001479E4"/>
    <w:rsid w:val="00147A6B"/>
    <w:rsid w:val="00147BDC"/>
    <w:rsid w:val="00147BFA"/>
    <w:rsid w:val="00147D82"/>
    <w:rsid w:val="00147F55"/>
    <w:rsid w:val="001500AB"/>
    <w:rsid w:val="00150376"/>
    <w:rsid w:val="001504EE"/>
    <w:rsid w:val="00150748"/>
    <w:rsid w:val="00150E5F"/>
    <w:rsid w:val="00150EC1"/>
    <w:rsid w:val="001518E9"/>
    <w:rsid w:val="00151A60"/>
    <w:rsid w:val="0015220B"/>
    <w:rsid w:val="00152237"/>
    <w:rsid w:val="0015275F"/>
    <w:rsid w:val="00152BD7"/>
    <w:rsid w:val="00152BDF"/>
    <w:rsid w:val="00152D51"/>
    <w:rsid w:val="00153096"/>
    <w:rsid w:val="00153921"/>
    <w:rsid w:val="00153B8C"/>
    <w:rsid w:val="00153D01"/>
    <w:rsid w:val="00154995"/>
    <w:rsid w:val="00154AFD"/>
    <w:rsid w:val="00155161"/>
    <w:rsid w:val="0015532C"/>
    <w:rsid w:val="001554F9"/>
    <w:rsid w:val="0015588D"/>
    <w:rsid w:val="001559F9"/>
    <w:rsid w:val="00155C0B"/>
    <w:rsid w:val="00155DDA"/>
    <w:rsid w:val="001560C9"/>
    <w:rsid w:val="001565F1"/>
    <w:rsid w:val="001574E6"/>
    <w:rsid w:val="00157E39"/>
    <w:rsid w:val="0016015D"/>
    <w:rsid w:val="001604DC"/>
    <w:rsid w:val="001604E9"/>
    <w:rsid w:val="001605C0"/>
    <w:rsid w:val="00160909"/>
    <w:rsid w:val="00160BA5"/>
    <w:rsid w:val="001610AF"/>
    <w:rsid w:val="0016130F"/>
    <w:rsid w:val="001613DC"/>
    <w:rsid w:val="001614F2"/>
    <w:rsid w:val="00161C57"/>
    <w:rsid w:val="001623FA"/>
    <w:rsid w:val="0016259E"/>
    <w:rsid w:val="001628C8"/>
    <w:rsid w:val="00162970"/>
    <w:rsid w:val="0016346E"/>
    <w:rsid w:val="00163B12"/>
    <w:rsid w:val="00163DED"/>
    <w:rsid w:val="0016414B"/>
    <w:rsid w:val="00164250"/>
    <w:rsid w:val="00164331"/>
    <w:rsid w:val="001650AC"/>
    <w:rsid w:val="001650EB"/>
    <w:rsid w:val="0016510F"/>
    <w:rsid w:val="0016544C"/>
    <w:rsid w:val="00165B33"/>
    <w:rsid w:val="00165BF3"/>
    <w:rsid w:val="00165C20"/>
    <w:rsid w:val="00166CE0"/>
    <w:rsid w:val="00166E43"/>
    <w:rsid w:val="00166FAB"/>
    <w:rsid w:val="001672FB"/>
    <w:rsid w:val="001674F6"/>
    <w:rsid w:val="00167B5B"/>
    <w:rsid w:val="00167C01"/>
    <w:rsid w:val="001701AC"/>
    <w:rsid w:val="001703DF"/>
    <w:rsid w:val="0017086E"/>
    <w:rsid w:val="001708EB"/>
    <w:rsid w:val="00170E9D"/>
    <w:rsid w:val="00170F9B"/>
    <w:rsid w:val="001718B6"/>
    <w:rsid w:val="0017270D"/>
    <w:rsid w:val="001728DE"/>
    <w:rsid w:val="00173552"/>
    <w:rsid w:val="00173633"/>
    <w:rsid w:val="00173790"/>
    <w:rsid w:val="00173979"/>
    <w:rsid w:val="00174404"/>
    <w:rsid w:val="00174CC9"/>
    <w:rsid w:val="00174F98"/>
    <w:rsid w:val="00175199"/>
    <w:rsid w:val="0017533D"/>
    <w:rsid w:val="001756B6"/>
    <w:rsid w:val="00175806"/>
    <w:rsid w:val="00175DBD"/>
    <w:rsid w:val="001765BE"/>
    <w:rsid w:val="00176971"/>
    <w:rsid w:val="00176A38"/>
    <w:rsid w:val="0017731E"/>
    <w:rsid w:val="00177A7B"/>
    <w:rsid w:val="00180370"/>
    <w:rsid w:val="00180579"/>
    <w:rsid w:val="0018117D"/>
    <w:rsid w:val="00181854"/>
    <w:rsid w:val="00181975"/>
    <w:rsid w:val="00181AAA"/>
    <w:rsid w:val="00181AC7"/>
    <w:rsid w:val="00181C79"/>
    <w:rsid w:val="00181E8C"/>
    <w:rsid w:val="0018221E"/>
    <w:rsid w:val="001822D3"/>
    <w:rsid w:val="001826A8"/>
    <w:rsid w:val="00182971"/>
    <w:rsid w:val="00182B79"/>
    <w:rsid w:val="00182E81"/>
    <w:rsid w:val="001832CB"/>
    <w:rsid w:val="001838CB"/>
    <w:rsid w:val="00183B3E"/>
    <w:rsid w:val="00183D01"/>
    <w:rsid w:val="00183EC1"/>
    <w:rsid w:val="00183EF6"/>
    <w:rsid w:val="00184554"/>
    <w:rsid w:val="001846A0"/>
    <w:rsid w:val="00184930"/>
    <w:rsid w:val="0018507E"/>
    <w:rsid w:val="00185191"/>
    <w:rsid w:val="001859F8"/>
    <w:rsid w:val="001864AB"/>
    <w:rsid w:val="00186ACF"/>
    <w:rsid w:val="00186D63"/>
    <w:rsid w:val="00186F1E"/>
    <w:rsid w:val="00190258"/>
    <w:rsid w:val="001906F4"/>
    <w:rsid w:val="00190C51"/>
    <w:rsid w:val="00190FE8"/>
    <w:rsid w:val="00191550"/>
    <w:rsid w:val="00191BA7"/>
    <w:rsid w:val="0019223F"/>
    <w:rsid w:val="00192264"/>
    <w:rsid w:val="001927C6"/>
    <w:rsid w:val="001932CF"/>
    <w:rsid w:val="00193413"/>
    <w:rsid w:val="00193445"/>
    <w:rsid w:val="00193495"/>
    <w:rsid w:val="00193510"/>
    <w:rsid w:val="00193923"/>
    <w:rsid w:val="00193B3F"/>
    <w:rsid w:val="00193F01"/>
    <w:rsid w:val="00195129"/>
    <w:rsid w:val="00195403"/>
    <w:rsid w:val="00196244"/>
    <w:rsid w:val="00196269"/>
    <w:rsid w:val="00196296"/>
    <w:rsid w:val="001965C3"/>
    <w:rsid w:val="0019663D"/>
    <w:rsid w:val="00196B0B"/>
    <w:rsid w:val="00197385"/>
    <w:rsid w:val="00197631"/>
    <w:rsid w:val="001979A1"/>
    <w:rsid w:val="00197C75"/>
    <w:rsid w:val="001A0005"/>
    <w:rsid w:val="001A00C9"/>
    <w:rsid w:val="001A022D"/>
    <w:rsid w:val="001A047F"/>
    <w:rsid w:val="001A06FB"/>
    <w:rsid w:val="001A16C4"/>
    <w:rsid w:val="001A1804"/>
    <w:rsid w:val="001A1C67"/>
    <w:rsid w:val="001A1D21"/>
    <w:rsid w:val="001A1E5E"/>
    <w:rsid w:val="001A20FB"/>
    <w:rsid w:val="001A2E9A"/>
    <w:rsid w:val="001A2EF4"/>
    <w:rsid w:val="001A30CA"/>
    <w:rsid w:val="001A3561"/>
    <w:rsid w:val="001A3807"/>
    <w:rsid w:val="001A3C9A"/>
    <w:rsid w:val="001A3DAA"/>
    <w:rsid w:val="001A4726"/>
    <w:rsid w:val="001A47B1"/>
    <w:rsid w:val="001A4D7B"/>
    <w:rsid w:val="001A5253"/>
    <w:rsid w:val="001A5600"/>
    <w:rsid w:val="001A5694"/>
    <w:rsid w:val="001A639D"/>
    <w:rsid w:val="001A6717"/>
    <w:rsid w:val="001A683F"/>
    <w:rsid w:val="001A6986"/>
    <w:rsid w:val="001A6FDA"/>
    <w:rsid w:val="001A708A"/>
    <w:rsid w:val="001A70BA"/>
    <w:rsid w:val="001A7138"/>
    <w:rsid w:val="001A7605"/>
    <w:rsid w:val="001A76BF"/>
    <w:rsid w:val="001A7B54"/>
    <w:rsid w:val="001A7B66"/>
    <w:rsid w:val="001B02C4"/>
    <w:rsid w:val="001B0B04"/>
    <w:rsid w:val="001B0E18"/>
    <w:rsid w:val="001B0E2C"/>
    <w:rsid w:val="001B1571"/>
    <w:rsid w:val="001B1821"/>
    <w:rsid w:val="001B1E40"/>
    <w:rsid w:val="001B21B7"/>
    <w:rsid w:val="001B285E"/>
    <w:rsid w:val="001B2897"/>
    <w:rsid w:val="001B2958"/>
    <w:rsid w:val="001B29CF"/>
    <w:rsid w:val="001B2B19"/>
    <w:rsid w:val="001B2CE4"/>
    <w:rsid w:val="001B2E72"/>
    <w:rsid w:val="001B3882"/>
    <w:rsid w:val="001B3A8F"/>
    <w:rsid w:val="001B3B3A"/>
    <w:rsid w:val="001B3C43"/>
    <w:rsid w:val="001B3E33"/>
    <w:rsid w:val="001B3FE3"/>
    <w:rsid w:val="001B423D"/>
    <w:rsid w:val="001B491E"/>
    <w:rsid w:val="001B4D15"/>
    <w:rsid w:val="001B55B2"/>
    <w:rsid w:val="001B5DE7"/>
    <w:rsid w:val="001B61DF"/>
    <w:rsid w:val="001B631F"/>
    <w:rsid w:val="001B65BA"/>
    <w:rsid w:val="001B65C3"/>
    <w:rsid w:val="001B6A91"/>
    <w:rsid w:val="001B6D43"/>
    <w:rsid w:val="001B6FC4"/>
    <w:rsid w:val="001B71EE"/>
    <w:rsid w:val="001B7969"/>
    <w:rsid w:val="001B7BC8"/>
    <w:rsid w:val="001B7EA5"/>
    <w:rsid w:val="001C0194"/>
    <w:rsid w:val="001C0332"/>
    <w:rsid w:val="001C0450"/>
    <w:rsid w:val="001C0F2D"/>
    <w:rsid w:val="001C0FBC"/>
    <w:rsid w:val="001C176F"/>
    <w:rsid w:val="001C19CB"/>
    <w:rsid w:val="001C1B0B"/>
    <w:rsid w:val="001C1F0C"/>
    <w:rsid w:val="001C29A0"/>
    <w:rsid w:val="001C2DA4"/>
    <w:rsid w:val="001C2E49"/>
    <w:rsid w:val="001C336B"/>
    <w:rsid w:val="001C34B5"/>
    <w:rsid w:val="001C353B"/>
    <w:rsid w:val="001C3561"/>
    <w:rsid w:val="001C3790"/>
    <w:rsid w:val="001C3932"/>
    <w:rsid w:val="001C3AE9"/>
    <w:rsid w:val="001C3C74"/>
    <w:rsid w:val="001C3CED"/>
    <w:rsid w:val="001C3E21"/>
    <w:rsid w:val="001C41AB"/>
    <w:rsid w:val="001C475F"/>
    <w:rsid w:val="001C4E87"/>
    <w:rsid w:val="001C508F"/>
    <w:rsid w:val="001C5217"/>
    <w:rsid w:val="001C54EC"/>
    <w:rsid w:val="001C55F6"/>
    <w:rsid w:val="001C5F1C"/>
    <w:rsid w:val="001C6055"/>
    <w:rsid w:val="001C6301"/>
    <w:rsid w:val="001C677D"/>
    <w:rsid w:val="001C7576"/>
    <w:rsid w:val="001C76CC"/>
    <w:rsid w:val="001C788D"/>
    <w:rsid w:val="001C7C09"/>
    <w:rsid w:val="001C7D68"/>
    <w:rsid w:val="001D0130"/>
    <w:rsid w:val="001D016C"/>
    <w:rsid w:val="001D0440"/>
    <w:rsid w:val="001D0612"/>
    <w:rsid w:val="001D0A7D"/>
    <w:rsid w:val="001D10C0"/>
    <w:rsid w:val="001D1179"/>
    <w:rsid w:val="001D15BA"/>
    <w:rsid w:val="001D17CB"/>
    <w:rsid w:val="001D1A94"/>
    <w:rsid w:val="001D1C90"/>
    <w:rsid w:val="001D1C9B"/>
    <w:rsid w:val="001D1D27"/>
    <w:rsid w:val="001D2C47"/>
    <w:rsid w:val="001D2C62"/>
    <w:rsid w:val="001D2F66"/>
    <w:rsid w:val="001D37C1"/>
    <w:rsid w:val="001D4074"/>
    <w:rsid w:val="001D41AC"/>
    <w:rsid w:val="001D47C7"/>
    <w:rsid w:val="001D4B18"/>
    <w:rsid w:val="001D54E4"/>
    <w:rsid w:val="001D64B0"/>
    <w:rsid w:val="001D6D16"/>
    <w:rsid w:val="001D708B"/>
    <w:rsid w:val="001D73AE"/>
    <w:rsid w:val="001D7418"/>
    <w:rsid w:val="001D758E"/>
    <w:rsid w:val="001E06F3"/>
    <w:rsid w:val="001E0870"/>
    <w:rsid w:val="001E0872"/>
    <w:rsid w:val="001E0EF9"/>
    <w:rsid w:val="001E130A"/>
    <w:rsid w:val="001E13D9"/>
    <w:rsid w:val="001E13DE"/>
    <w:rsid w:val="001E1947"/>
    <w:rsid w:val="001E1AAB"/>
    <w:rsid w:val="001E1FE1"/>
    <w:rsid w:val="001E2C3C"/>
    <w:rsid w:val="001E3041"/>
    <w:rsid w:val="001E331B"/>
    <w:rsid w:val="001E36E3"/>
    <w:rsid w:val="001E390B"/>
    <w:rsid w:val="001E40E6"/>
    <w:rsid w:val="001E4277"/>
    <w:rsid w:val="001E4671"/>
    <w:rsid w:val="001E4704"/>
    <w:rsid w:val="001E47B8"/>
    <w:rsid w:val="001E485A"/>
    <w:rsid w:val="001E4C02"/>
    <w:rsid w:val="001E4C34"/>
    <w:rsid w:val="001E4D39"/>
    <w:rsid w:val="001E4E3D"/>
    <w:rsid w:val="001E5588"/>
    <w:rsid w:val="001E599B"/>
    <w:rsid w:val="001E5D28"/>
    <w:rsid w:val="001E62DA"/>
    <w:rsid w:val="001E7182"/>
    <w:rsid w:val="001E71BF"/>
    <w:rsid w:val="001E7E64"/>
    <w:rsid w:val="001F05B0"/>
    <w:rsid w:val="001F07B8"/>
    <w:rsid w:val="001F0FAB"/>
    <w:rsid w:val="001F135F"/>
    <w:rsid w:val="001F144F"/>
    <w:rsid w:val="001F1968"/>
    <w:rsid w:val="001F1AB6"/>
    <w:rsid w:val="001F1BB6"/>
    <w:rsid w:val="001F2354"/>
    <w:rsid w:val="001F24E4"/>
    <w:rsid w:val="001F25FC"/>
    <w:rsid w:val="001F2638"/>
    <w:rsid w:val="001F265E"/>
    <w:rsid w:val="001F2E5B"/>
    <w:rsid w:val="001F3125"/>
    <w:rsid w:val="001F3522"/>
    <w:rsid w:val="001F3668"/>
    <w:rsid w:val="001F3B9A"/>
    <w:rsid w:val="001F3D1E"/>
    <w:rsid w:val="001F43AE"/>
    <w:rsid w:val="001F43F8"/>
    <w:rsid w:val="001F488D"/>
    <w:rsid w:val="001F4E44"/>
    <w:rsid w:val="001F5147"/>
    <w:rsid w:val="001F5A10"/>
    <w:rsid w:val="001F5A3E"/>
    <w:rsid w:val="001F66A7"/>
    <w:rsid w:val="001F67A2"/>
    <w:rsid w:val="001F6B83"/>
    <w:rsid w:val="001F7025"/>
    <w:rsid w:val="001F7159"/>
    <w:rsid w:val="001F71DC"/>
    <w:rsid w:val="001F7309"/>
    <w:rsid w:val="001F742E"/>
    <w:rsid w:val="001F795A"/>
    <w:rsid w:val="001F7B83"/>
    <w:rsid w:val="00200036"/>
    <w:rsid w:val="00200099"/>
    <w:rsid w:val="0020052E"/>
    <w:rsid w:val="002005A3"/>
    <w:rsid w:val="002005AD"/>
    <w:rsid w:val="002006B9"/>
    <w:rsid w:val="002010C5"/>
    <w:rsid w:val="0020110D"/>
    <w:rsid w:val="00201159"/>
    <w:rsid w:val="0020176B"/>
    <w:rsid w:val="002018EA"/>
    <w:rsid w:val="00201941"/>
    <w:rsid w:val="0020195F"/>
    <w:rsid w:val="002019BE"/>
    <w:rsid w:val="002019FF"/>
    <w:rsid w:val="00201C51"/>
    <w:rsid w:val="00201CD8"/>
    <w:rsid w:val="0020227E"/>
    <w:rsid w:val="00202799"/>
    <w:rsid w:val="00203326"/>
    <w:rsid w:val="00203590"/>
    <w:rsid w:val="00203672"/>
    <w:rsid w:val="00203ADF"/>
    <w:rsid w:val="00203C93"/>
    <w:rsid w:val="0020421C"/>
    <w:rsid w:val="002043B3"/>
    <w:rsid w:val="00204580"/>
    <w:rsid w:val="002049C5"/>
    <w:rsid w:val="00204CB3"/>
    <w:rsid w:val="00204F74"/>
    <w:rsid w:val="00205055"/>
    <w:rsid w:val="00205BCA"/>
    <w:rsid w:val="0020607F"/>
    <w:rsid w:val="00206722"/>
    <w:rsid w:val="00206BA3"/>
    <w:rsid w:val="00206DBE"/>
    <w:rsid w:val="0020712A"/>
    <w:rsid w:val="002072B5"/>
    <w:rsid w:val="00207811"/>
    <w:rsid w:val="00210490"/>
    <w:rsid w:val="00210821"/>
    <w:rsid w:val="00210ABD"/>
    <w:rsid w:val="00210C50"/>
    <w:rsid w:val="00210CD5"/>
    <w:rsid w:val="00211AE8"/>
    <w:rsid w:val="00211BAD"/>
    <w:rsid w:val="00211BD7"/>
    <w:rsid w:val="002122CF"/>
    <w:rsid w:val="0021268B"/>
    <w:rsid w:val="002131CF"/>
    <w:rsid w:val="002131FE"/>
    <w:rsid w:val="00213435"/>
    <w:rsid w:val="00213F42"/>
    <w:rsid w:val="0021423B"/>
    <w:rsid w:val="002147BD"/>
    <w:rsid w:val="00214947"/>
    <w:rsid w:val="00214F33"/>
    <w:rsid w:val="00215937"/>
    <w:rsid w:val="0021596A"/>
    <w:rsid w:val="002159F6"/>
    <w:rsid w:val="00216846"/>
    <w:rsid w:val="0021699A"/>
    <w:rsid w:val="00216CDE"/>
    <w:rsid w:val="00216D1A"/>
    <w:rsid w:val="00216E57"/>
    <w:rsid w:val="00216FC2"/>
    <w:rsid w:val="002171B6"/>
    <w:rsid w:val="0021724C"/>
    <w:rsid w:val="002174ED"/>
    <w:rsid w:val="00217A54"/>
    <w:rsid w:val="00217BDC"/>
    <w:rsid w:val="00217D1E"/>
    <w:rsid w:val="0022026B"/>
    <w:rsid w:val="00220281"/>
    <w:rsid w:val="00220447"/>
    <w:rsid w:val="0022065E"/>
    <w:rsid w:val="00220900"/>
    <w:rsid w:val="00220E22"/>
    <w:rsid w:val="002212A3"/>
    <w:rsid w:val="00221375"/>
    <w:rsid w:val="002213CF"/>
    <w:rsid w:val="0022185E"/>
    <w:rsid w:val="00221C1E"/>
    <w:rsid w:val="00221F6A"/>
    <w:rsid w:val="00222047"/>
    <w:rsid w:val="00222182"/>
    <w:rsid w:val="0022242A"/>
    <w:rsid w:val="00222586"/>
    <w:rsid w:val="00222AA5"/>
    <w:rsid w:val="0022319A"/>
    <w:rsid w:val="002240B7"/>
    <w:rsid w:val="00224D47"/>
    <w:rsid w:val="00224F80"/>
    <w:rsid w:val="00225339"/>
    <w:rsid w:val="0022594D"/>
    <w:rsid w:val="00225A9A"/>
    <w:rsid w:val="00225C31"/>
    <w:rsid w:val="00225D19"/>
    <w:rsid w:val="002260FB"/>
    <w:rsid w:val="00227028"/>
    <w:rsid w:val="002272A3"/>
    <w:rsid w:val="0022743C"/>
    <w:rsid w:val="00227743"/>
    <w:rsid w:val="002302B8"/>
    <w:rsid w:val="00230328"/>
    <w:rsid w:val="00230397"/>
    <w:rsid w:val="002303FC"/>
    <w:rsid w:val="0023095F"/>
    <w:rsid w:val="00230F64"/>
    <w:rsid w:val="00230F8E"/>
    <w:rsid w:val="002316AF"/>
    <w:rsid w:val="0023226A"/>
    <w:rsid w:val="00232937"/>
    <w:rsid w:val="00233216"/>
    <w:rsid w:val="0023357F"/>
    <w:rsid w:val="002337F8"/>
    <w:rsid w:val="002338A1"/>
    <w:rsid w:val="002338DE"/>
    <w:rsid w:val="00234118"/>
    <w:rsid w:val="00234309"/>
    <w:rsid w:val="00234332"/>
    <w:rsid w:val="0023437E"/>
    <w:rsid w:val="00234738"/>
    <w:rsid w:val="00235297"/>
    <w:rsid w:val="002352FA"/>
    <w:rsid w:val="0023542F"/>
    <w:rsid w:val="00235A61"/>
    <w:rsid w:val="00235C4F"/>
    <w:rsid w:val="00236091"/>
    <w:rsid w:val="00236099"/>
    <w:rsid w:val="00236932"/>
    <w:rsid w:val="00236A70"/>
    <w:rsid w:val="00236E4F"/>
    <w:rsid w:val="0023749B"/>
    <w:rsid w:val="002375A0"/>
    <w:rsid w:val="00237978"/>
    <w:rsid w:val="002400B8"/>
    <w:rsid w:val="00240382"/>
    <w:rsid w:val="0024066A"/>
    <w:rsid w:val="00240BCF"/>
    <w:rsid w:val="002410AF"/>
    <w:rsid w:val="00241428"/>
    <w:rsid w:val="00241496"/>
    <w:rsid w:val="002415CC"/>
    <w:rsid w:val="00241721"/>
    <w:rsid w:val="00241AC2"/>
    <w:rsid w:val="00241DF5"/>
    <w:rsid w:val="00242463"/>
    <w:rsid w:val="00242D1F"/>
    <w:rsid w:val="00242E60"/>
    <w:rsid w:val="00242F15"/>
    <w:rsid w:val="00242F33"/>
    <w:rsid w:val="00243641"/>
    <w:rsid w:val="00243DA8"/>
    <w:rsid w:val="0024408C"/>
    <w:rsid w:val="002440D9"/>
    <w:rsid w:val="00244A1B"/>
    <w:rsid w:val="00244E7A"/>
    <w:rsid w:val="002451BB"/>
    <w:rsid w:val="002453DC"/>
    <w:rsid w:val="002455E0"/>
    <w:rsid w:val="002455E8"/>
    <w:rsid w:val="002457E2"/>
    <w:rsid w:val="00245844"/>
    <w:rsid w:val="00245C8D"/>
    <w:rsid w:val="00245D53"/>
    <w:rsid w:val="00245F2A"/>
    <w:rsid w:val="00245F9B"/>
    <w:rsid w:val="002466EB"/>
    <w:rsid w:val="00246818"/>
    <w:rsid w:val="00246F23"/>
    <w:rsid w:val="002470D4"/>
    <w:rsid w:val="002471A8"/>
    <w:rsid w:val="00247965"/>
    <w:rsid w:val="00250228"/>
    <w:rsid w:val="002505AC"/>
    <w:rsid w:val="002509DF"/>
    <w:rsid w:val="00250EA9"/>
    <w:rsid w:val="00250FD6"/>
    <w:rsid w:val="0025123E"/>
    <w:rsid w:val="0025138D"/>
    <w:rsid w:val="0025146C"/>
    <w:rsid w:val="00251A72"/>
    <w:rsid w:val="00251F21"/>
    <w:rsid w:val="00252321"/>
    <w:rsid w:val="00252357"/>
    <w:rsid w:val="00252883"/>
    <w:rsid w:val="002528E3"/>
    <w:rsid w:val="00252A59"/>
    <w:rsid w:val="00252AFC"/>
    <w:rsid w:val="00252B1C"/>
    <w:rsid w:val="00252F8C"/>
    <w:rsid w:val="00253322"/>
    <w:rsid w:val="00253436"/>
    <w:rsid w:val="00253456"/>
    <w:rsid w:val="00253C9B"/>
    <w:rsid w:val="00253CD8"/>
    <w:rsid w:val="0025508B"/>
    <w:rsid w:val="002551BA"/>
    <w:rsid w:val="00255602"/>
    <w:rsid w:val="00255ADF"/>
    <w:rsid w:val="00255FBE"/>
    <w:rsid w:val="002566E6"/>
    <w:rsid w:val="002569AC"/>
    <w:rsid w:val="002575D9"/>
    <w:rsid w:val="00260DF8"/>
    <w:rsid w:val="0026147D"/>
    <w:rsid w:val="00261640"/>
    <w:rsid w:val="00261B47"/>
    <w:rsid w:val="00261BEE"/>
    <w:rsid w:val="00261DEB"/>
    <w:rsid w:val="002628E1"/>
    <w:rsid w:val="00262E84"/>
    <w:rsid w:val="00262FAF"/>
    <w:rsid w:val="002630A4"/>
    <w:rsid w:val="00263480"/>
    <w:rsid w:val="002634CC"/>
    <w:rsid w:val="00263E10"/>
    <w:rsid w:val="00263E7C"/>
    <w:rsid w:val="00264074"/>
    <w:rsid w:val="002645AE"/>
    <w:rsid w:val="00264727"/>
    <w:rsid w:val="002647BF"/>
    <w:rsid w:val="00264A75"/>
    <w:rsid w:val="00264DDD"/>
    <w:rsid w:val="00264E6D"/>
    <w:rsid w:val="00265226"/>
    <w:rsid w:val="002658E2"/>
    <w:rsid w:val="00265AE6"/>
    <w:rsid w:val="00265AFF"/>
    <w:rsid w:val="00266132"/>
    <w:rsid w:val="0026632E"/>
    <w:rsid w:val="002663D9"/>
    <w:rsid w:val="00266606"/>
    <w:rsid w:val="002666B9"/>
    <w:rsid w:val="00267193"/>
    <w:rsid w:val="00267786"/>
    <w:rsid w:val="00267974"/>
    <w:rsid w:val="0026799E"/>
    <w:rsid w:val="002700BC"/>
    <w:rsid w:val="002706F9"/>
    <w:rsid w:val="002710C2"/>
    <w:rsid w:val="00271377"/>
    <w:rsid w:val="00271558"/>
    <w:rsid w:val="00271ADE"/>
    <w:rsid w:val="00272A77"/>
    <w:rsid w:val="00272ED5"/>
    <w:rsid w:val="00272F45"/>
    <w:rsid w:val="00273108"/>
    <w:rsid w:val="00273363"/>
    <w:rsid w:val="0027358A"/>
    <w:rsid w:val="002736D5"/>
    <w:rsid w:val="0027445C"/>
    <w:rsid w:val="00274FE4"/>
    <w:rsid w:val="0027513B"/>
    <w:rsid w:val="00275731"/>
    <w:rsid w:val="00275794"/>
    <w:rsid w:val="00275E3C"/>
    <w:rsid w:val="002760BC"/>
    <w:rsid w:val="0027627E"/>
    <w:rsid w:val="00276784"/>
    <w:rsid w:val="00276BE8"/>
    <w:rsid w:val="00276CEB"/>
    <w:rsid w:val="0027790A"/>
    <w:rsid w:val="0028022D"/>
    <w:rsid w:val="00280479"/>
    <w:rsid w:val="002808AA"/>
    <w:rsid w:val="002809B2"/>
    <w:rsid w:val="002809E9"/>
    <w:rsid w:val="00280D80"/>
    <w:rsid w:val="002813A3"/>
    <w:rsid w:val="002813C1"/>
    <w:rsid w:val="002819CA"/>
    <w:rsid w:val="00281A49"/>
    <w:rsid w:val="00281F88"/>
    <w:rsid w:val="0028215F"/>
    <w:rsid w:val="00282253"/>
    <w:rsid w:val="002824AC"/>
    <w:rsid w:val="0028273D"/>
    <w:rsid w:val="0028289F"/>
    <w:rsid w:val="00282A41"/>
    <w:rsid w:val="0028329E"/>
    <w:rsid w:val="002838A9"/>
    <w:rsid w:val="0028395D"/>
    <w:rsid w:val="00283B3C"/>
    <w:rsid w:val="0028426F"/>
    <w:rsid w:val="00284670"/>
    <w:rsid w:val="00284796"/>
    <w:rsid w:val="00284CEE"/>
    <w:rsid w:val="00284EDF"/>
    <w:rsid w:val="00284EEB"/>
    <w:rsid w:val="0028513C"/>
    <w:rsid w:val="002851AE"/>
    <w:rsid w:val="00285D52"/>
    <w:rsid w:val="00286016"/>
    <w:rsid w:val="002860D8"/>
    <w:rsid w:val="002863BF"/>
    <w:rsid w:val="00286939"/>
    <w:rsid w:val="00286B2D"/>
    <w:rsid w:val="00286D97"/>
    <w:rsid w:val="0028717E"/>
    <w:rsid w:val="00287315"/>
    <w:rsid w:val="0028734C"/>
    <w:rsid w:val="002877F0"/>
    <w:rsid w:val="00287BDF"/>
    <w:rsid w:val="0029071C"/>
    <w:rsid w:val="0029099A"/>
    <w:rsid w:val="0029111B"/>
    <w:rsid w:val="00291993"/>
    <w:rsid w:val="00291BD6"/>
    <w:rsid w:val="00291C0B"/>
    <w:rsid w:val="00292383"/>
    <w:rsid w:val="0029270C"/>
    <w:rsid w:val="00292BAC"/>
    <w:rsid w:val="00292CFB"/>
    <w:rsid w:val="00292E79"/>
    <w:rsid w:val="00293196"/>
    <w:rsid w:val="002939FA"/>
    <w:rsid w:val="002947DE"/>
    <w:rsid w:val="002948C9"/>
    <w:rsid w:val="00294990"/>
    <w:rsid w:val="00294A65"/>
    <w:rsid w:val="00294F15"/>
    <w:rsid w:val="00295600"/>
    <w:rsid w:val="002968B3"/>
    <w:rsid w:val="002968F0"/>
    <w:rsid w:val="00296DF9"/>
    <w:rsid w:val="00296E13"/>
    <w:rsid w:val="00296FB9"/>
    <w:rsid w:val="0029783D"/>
    <w:rsid w:val="00297B84"/>
    <w:rsid w:val="00297EA1"/>
    <w:rsid w:val="002A0171"/>
    <w:rsid w:val="002A01D5"/>
    <w:rsid w:val="002A052B"/>
    <w:rsid w:val="002A0610"/>
    <w:rsid w:val="002A06CC"/>
    <w:rsid w:val="002A0AB8"/>
    <w:rsid w:val="002A0E66"/>
    <w:rsid w:val="002A10C1"/>
    <w:rsid w:val="002A18F1"/>
    <w:rsid w:val="002A1D2B"/>
    <w:rsid w:val="002A26FE"/>
    <w:rsid w:val="002A3AA8"/>
    <w:rsid w:val="002A3BF2"/>
    <w:rsid w:val="002A4680"/>
    <w:rsid w:val="002A5243"/>
    <w:rsid w:val="002A542E"/>
    <w:rsid w:val="002A5BBD"/>
    <w:rsid w:val="002A5E08"/>
    <w:rsid w:val="002A60BD"/>
    <w:rsid w:val="002A6112"/>
    <w:rsid w:val="002A67FB"/>
    <w:rsid w:val="002A6968"/>
    <w:rsid w:val="002A6C69"/>
    <w:rsid w:val="002B028C"/>
    <w:rsid w:val="002B0422"/>
    <w:rsid w:val="002B07C9"/>
    <w:rsid w:val="002B0811"/>
    <w:rsid w:val="002B0935"/>
    <w:rsid w:val="002B0A77"/>
    <w:rsid w:val="002B0AEE"/>
    <w:rsid w:val="002B209D"/>
    <w:rsid w:val="002B2273"/>
    <w:rsid w:val="002B2594"/>
    <w:rsid w:val="002B2A4F"/>
    <w:rsid w:val="002B2AFD"/>
    <w:rsid w:val="002B2B84"/>
    <w:rsid w:val="002B2D17"/>
    <w:rsid w:val="002B3432"/>
    <w:rsid w:val="002B3A95"/>
    <w:rsid w:val="002B4122"/>
    <w:rsid w:val="002B4EDF"/>
    <w:rsid w:val="002B4F4E"/>
    <w:rsid w:val="002B5BDD"/>
    <w:rsid w:val="002B5C31"/>
    <w:rsid w:val="002B5E54"/>
    <w:rsid w:val="002B5F1D"/>
    <w:rsid w:val="002B6246"/>
    <w:rsid w:val="002B6254"/>
    <w:rsid w:val="002B650E"/>
    <w:rsid w:val="002B670E"/>
    <w:rsid w:val="002B69F7"/>
    <w:rsid w:val="002B6ABF"/>
    <w:rsid w:val="002B6CF8"/>
    <w:rsid w:val="002B716A"/>
    <w:rsid w:val="002B75BA"/>
    <w:rsid w:val="002B762F"/>
    <w:rsid w:val="002B7857"/>
    <w:rsid w:val="002B7931"/>
    <w:rsid w:val="002B7AC2"/>
    <w:rsid w:val="002C0250"/>
    <w:rsid w:val="002C0AB6"/>
    <w:rsid w:val="002C0E86"/>
    <w:rsid w:val="002C0FC5"/>
    <w:rsid w:val="002C10E9"/>
    <w:rsid w:val="002C1DC7"/>
    <w:rsid w:val="002C1ED9"/>
    <w:rsid w:val="002C2027"/>
    <w:rsid w:val="002C2A89"/>
    <w:rsid w:val="002C33C1"/>
    <w:rsid w:val="002C3498"/>
    <w:rsid w:val="002C354E"/>
    <w:rsid w:val="002C3671"/>
    <w:rsid w:val="002C3755"/>
    <w:rsid w:val="002C3925"/>
    <w:rsid w:val="002C3CE3"/>
    <w:rsid w:val="002C3EEC"/>
    <w:rsid w:val="002C43F6"/>
    <w:rsid w:val="002C4AFB"/>
    <w:rsid w:val="002C53CC"/>
    <w:rsid w:val="002C54CB"/>
    <w:rsid w:val="002C5875"/>
    <w:rsid w:val="002C5A51"/>
    <w:rsid w:val="002C6231"/>
    <w:rsid w:val="002C6301"/>
    <w:rsid w:val="002C64A2"/>
    <w:rsid w:val="002C66E8"/>
    <w:rsid w:val="002C76BD"/>
    <w:rsid w:val="002C7D2B"/>
    <w:rsid w:val="002C7FB8"/>
    <w:rsid w:val="002D02BD"/>
    <w:rsid w:val="002D03CF"/>
    <w:rsid w:val="002D05A5"/>
    <w:rsid w:val="002D0BE6"/>
    <w:rsid w:val="002D1182"/>
    <w:rsid w:val="002D1469"/>
    <w:rsid w:val="002D1632"/>
    <w:rsid w:val="002D183E"/>
    <w:rsid w:val="002D1930"/>
    <w:rsid w:val="002D1DB8"/>
    <w:rsid w:val="002D1E9B"/>
    <w:rsid w:val="002D277A"/>
    <w:rsid w:val="002D27CC"/>
    <w:rsid w:val="002D32C9"/>
    <w:rsid w:val="002D3612"/>
    <w:rsid w:val="002D3E2D"/>
    <w:rsid w:val="002D4191"/>
    <w:rsid w:val="002D4A52"/>
    <w:rsid w:val="002D4A5A"/>
    <w:rsid w:val="002D4AEA"/>
    <w:rsid w:val="002D5151"/>
    <w:rsid w:val="002D5DEA"/>
    <w:rsid w:val="002D5E21"/>
    <w:rsid w:val="002D6182"/>
    <w:rsid w:val="002D655D"/>
    <w:rsid w:val="002D72BD"/>
    <w:rsid w:val="002D7A60"/>
    <w:rsid w:val="002D7AF6"/>
    <w:rsid w:val="002E02F1"/>
    <w:rsid w:val="002E0416"/>
    <w:rsid w:val="002E0465"/>
    <w:rsid w:val="002E057D"/>
    <w:rsid w:val="002E0A4A"/>
    <w:rsid w:val="002E1015"/>
    <w:rsid w:val="002E109C"/>
    <w:rsid w:val="002E15F0"/>
    <w:rsid w:val="002E1903"/>
    <w:rsid w:val="002E195A"/>
    <w:rsid w:val="002E19AD"/>
    <w:rsid w:val="002E1D69"/>
    <w:rsid w:val="002E1E22"/>
    <w:rsid w:val="002E2176"/>
    <w:rsid w:val="002E2221"/>
    <w:rsid w:val="002E2298"/>
    <w:rsid w:val="002E2437"/>
    <w:rsid w:val="002E2464"/>
    <w:rsid w:val="002E2F72"/>
    <w:rsid w:val="002E30D7"/>
    <w:rsid w:val="002E350E"/>
    <w:rsid w:val="002E3916"/>
    <w:rsid w:val="002E3C2D"/>
    <w:rsid w:val="002E3F7A"/>
    <w:rsid w:val="002E411E"/>
    <w:rsid w:val="002E4264"/>
    <w:rsid w:val="002E46A5"/>
    <w:rsid w:val="002E47AC"/>
    <w:rsid w:val="002E48EE"/>
    <w:rsid w:val="002E5775"/>
    <w:rsid w:val="002E5C6E"/>
    <w:rsid w:val="002E5DD4"/>
    <w:rsid w:val="002E5EB4"/>
    <w:rsid w:val="002E5F7F"/>
    <w:rsid w:val="002E64F5"/>
    <w:rsid w:val="002E652B"/>
    <w:rsid w:val="002E6828"/>
    <w:rsid w:val="002E7051"/>
    <w:rsid w:val="002E7423"/>
    <w:rsid w:val="002E7729"/>
    <w:rsid w:val="002E7740"/>
    <w:rsid w:val="002E7C22"/>
    <w:rsid w:val="002E7CD6"/>
    <w:rsid w:val="002F0480"/>
    <w:rsid w:val="002F07A8"/>
    <w:rsid w:val="002F1057"/>
    <w:rsid w:val="002F1822"/>
    <w:rsid w:val="002F1A09"/>
    <w:rsid w:val="002F1D6C"/>
    <w:rsid w:val="002F205A"/>
    <w:rsid w:val="002F2E34"/>
    <w:rsid w:val="002F2FB3"/>
    <w:rsid w:val="002F305C"/>
    <w:rsid w:val="002F347E"/>
    <w:rsid w:val="002F3C53"/>
    <w:rsid w:val="002F3C77"/>
    <w:rsid w:val="002F3D03"/>
    <w:rsid w:val="002F4C3B"/>
    <w:rsid w:val="002F4F4A"/>
    <w:rsid w:val="002F516E"/>
    <w:rsid w:val="002F5792"/>
    <w:rsid w:val="002F5B02"/>
    <w:rsid w:val="002F618C"/>
    <w:rsid w:val="002F6611"/>
    <w:rsid w:val="002F6680"/>
    <w:rsid w:val="002F681E"/>
    <w:rsid w:val="002F6936"/>
    <w:rsid w:val="002F6BD4"/>
    <w:rsid w:val="002F6E28"/>
    <w:rsid w:val="002F7F6F"/>
    <w:rsid w:val="003000C2"/>
    <w:rsid w:val="003001FC"/>
    <w:rsid w:val="003007BE"/>
    <w:rsid w:val="003009C9"/>
    <w:rsid w:val="00300A50"/>
    <w:rsid w:val="00300F2D"/>
    <w:rsid w:val="00301918"/>
    <w:rsid w:val="00301D2A"/>
    <w:rsid w:val="00301F9F"/>
    <w:rsid w:val="00302462"/>
    <w:rsid w:val="00302603"/>
    <w:rsid w:val="00302799"/>
    <w:rsid w:val="00302C7A"/>
    <w:rsid w:val="00302EF9"/>
    <w:rsid w:val="00303045"/>
    <w:rsid w:val="00303418"/>
    <w:rsid w:val="00303787"/>
    <w:rsid w:val="00303B1F"/>
    <w:rsid w:val="00303F9A"/>
    <w:rsid w:val="00304483"/>
    <w:rsid w:val="003044D2"/>
    <w:rsid w:val="00304996"/>
    <w:rsid w:val="00304B36"/>
    <w:rsid w:val="00304DA3"/>
    <w:rsid w:val="003053E3"/>
    <w:rsid w:val="00305645"/>
    <w:rsid w:val="0030581D"/>
    <w:rsid w:val="00305FA4"/>
    <w:rsid w:val="003065D6"/>
    <w:rsid w:val="0030676A"/>
    <w:rsid w:val="00306802"/>
    <w:rsid w:val="0030707B"/>
    <w:rsid w:val="00307581"/>
    <w:rsid w:val="0030772A"/>
    <w:rsid w:val="00307D21"/>
    <w:rsid w:val="00310612"/>
    <w:rsid w:val="0031062A"/>
    <w:rsid w:val="003106CB"/>
    <w:rsid w:val="003106F1"/>
    <w:rsid w:val="003109BC"/>
    <w:rsid w:val="00310F0E"/>
    <w:rsid w:val="003110B1"/>
    <w:rsid w:val="00311363"/>
    <w:rsid w:val="0031152E"/>
    <w:rsid w:val="00311ADD"/>
    <w:rsid w:val="00311B57"/>
    <w:rsid w:val="00311D47"/>
    <w:rsid w:val="00311ED5"/>
    <w:rsid w:val="00312188"/>
    <w:rsid w:val="00312323"/>
    <w:rsid w:val="00312585"/>
    <w:rsid w:val="003126A5"/>
    <w:rsid w:val="00313249"/>
    <w:rsid w:val="00313E10"/>
    <w:rsid w:val="00313EDC"/>
    <w:rsid w:val="00314383"/>
    <w:rsid w:val="003143B8"/>
    <w:rsid w:val="00314634"/>
    <w:rsid w:val="00314AB0"/>
    <w:rsid w:val="0031577B"/>
    <w:rsid w:val="003158EF"/>
    <w:rsid w:val="00315AD7"/>
    <w:rsid w:val="00315B6E"/>
    <w:rsid w:val="00316242"/>
    <w:rsid w:val="00316717"/>
    <w:rsid w:val="00316886"/>
    <w:rsid w:val="0031721F"/>
    <w:rsid w:val="003175CC"/>
    <w:rsid w:val="00317A17"/>
    <w:rsid w:val="00317D72"/>
    <w:rsid w:val="00320553"/>
    <w:rsid w:val="0032077E"/>
    <w:rsid w:val="00320840"/>
    <w:rsid w:val="00320DA0"/>
    <w:rsid w:val="0032156A"/>
    <w:rsid w:val="0032176C"/>
    <w:rsid w:val="00321B3B"/>
    <w:rsid w:val="0032216F"/>
    <w:rsid w:val="0032255F"/>
    <w:rsid w:val="003227AE"/>
    <w:rsid w:val="00322CC5"/>
    <w:rsid w:val="00323314"/>
    <w:rsid w:val="00323933"/>
    <w:rsid w:val="00323E4D"/>
    <w:rsid w:val="003241D8"/>
    <w:rsid w:val="00324705"/>
    <w:rsid w:val="0032477A"/>
    <w:rsid w:val="00324F52"/>
    <w:rsid w:val="00324F54"/>
    <w:rsid w:val="0032588B"/>
    <w:rsid w:val="0032598F"/>
    <w:rsid w:val="00325B1D"/>
    <w:rsid w:val="00325C52"/>
    <w:rsid w:val="00325EC5"/>
    <w:rsid w:val="003261F5"/>
    <w:rsid w:val="00326351"/>
    <w:rsid w:val="00326941"/>
    <w:rsid w:val="00326E3A"/>
    <w:rsid w:val="00327094"/>
    <w:rsid w:val="0032780C"/>
    <w:rsid w:val="00327CC2"/>
    <w:rsid w:val="00327E36"/>
    <w:rsid w:val="00327EE2"/>
    <w:rsid w:val="00327FA6"/>
    <w:rsid w:val="003305EF"/>
    <w:rsid w:val="00330C82"/>
    <w:rsid w:val="003311EF"/>
    <w:rsid w:val="003317F8"/>
    <w:rsid w:val="0033184E"/>
    <w:rsid w:val="003319E8"/>
    <w:rsid w:val="00331A35"/>
    <w:rsid w:val="00331C19"/>
    <w:rsid w:val="00331C4B"/>
    <w:rsid w:val="00331C73"/>
    <w:rsid w:val="00332399"/>
    <w:rsid w:val="00332771"/>
    <w:rsid w:val="00332B04"/>
    <w:rsid w:val="00332E4E"/>
    <w:rsid w:val="00333574"/>
    <w:rsid w:val="003335C7"/>
    <w:rsid w:val="00333809"/>
    <w:rsid w:val="00333816"/>
    <w:rsid w:val="003338F1"/>
    <w:rsid w:val="00333A07"/>
    <w:rsid w:val="00333F4D"/>
    <w:rsid w:val="00334162"/>
    <w:rsid w:val="00334706"/>
    <w:rsid w:val="00334AA6"/>
    <w:rsid w:val="00334CD5"/>
    <w:rsid w:val="003350CA"/>
    <w:rsid w:val="00335173"/>
    <w:rsid w:val="0033522F"/>
    <w:rsid w:val="003359FE"/>
    <w:rsid w:val="00335AE0"/>
    <w:rsid w:val="00335BDB"/>
    <w:rsid w:val="00336604"/>
    <w:rsid w:val="00336927"/>
    <w:rsid w:val="00336EDF"/>
    <w:rsid w:val="00337496"/>
    <w:rsid w:val="003375C1"/>
    <w:rsid w:val="00340390"/>
    <w:rsid w:val="0034043A"/>
    <w:rsid w:val="00340808"/>
    <w:rsid w:val="00340BFE"/>
    <w:rsid w:val="00340E13"/>
    <w:rsid w:val="00340EF6"/>
    <w:rsid w:val="00341058"/>
    <w:rsid w:val="00341B50"/>
    <w:rsid w:val="00342CC7"/>
    <w:rsid w:val="0034386E"/>
    <w:rsid w:val="00343934"/>
    <w:rsid w:val="00343A1D"/>
    <w:rsid w:val="00343A8A"/>
    <w:rsid w:val="00343F0F"/>
    <w:rsid w:val="00344278"/>
    <w:rsid w:val="003442AD"/>
    <w:rsid w:val="00344B31"/>
    <w:rsid w:val="00344C7C"/>
    <w:rsid w:val="003454E3"/>
    <w:rsid w:val="003455A3"/>
    <w:rsid w:val="003465C8"/>
    <w:rsid w:val="003466CC"/>
    <w:rsid w:val="00346705"/>
    <w:rsid w:val="0034678A"/>
    <w:rsid w:val="0034682F"/>
    <w:rsid w:val="00347127"/>
    <w:rsid w:val="00347243"/>
    <w:rsid w:val="00347377"/>
    <w:rsid w:val="0034753C"/>
    <w:rsid w:val="003478C9"/>
    <w:rsid w:val="003500A5"/>
    <w:rsid w:val="0035054D"/>
    <w:rsid w:val="00350667"/>
    <w:rsid w:val="0035070F"/>
    <w:rsid w:val="00350BBA"/>
    <w:rsid w:val="003512CC"/>
    <w:rsid w:val="00351EDC"/>
    <w:rsid w:val="00352045"/>
    <w:rsid w:val="00352071"/>
    <w:rsid w:val="00352C6C"/>
    <w:rsid w:val="00352D70"/>
    <w:rsid w:val="00353B7E"/>
    <w:rsid w:val="00353F26"/>
    <w:rsid w:val="003541D8"/>
    <w:rsid w:val="00354481"/>
    <w:rsid w:val="0035458C"/>
    <w:rsid w:val="00354782"/>
    <w:rsid w:val="003548CB"/>
    <w:rsid w:val="00355113"/>
    <w:rsid w:val="00355234"/>
    <w:rsid w:val="00355337"/>
    <w:rsid w:val="003554AC"/>
    <w:rsid w:val="00355C36"/>
    <w:rsid w:val="00356E54"/>
    <w:rsid w:val="00356F7F"/>
    <w:rsid w:val="00357B90"/>
    <w:rsid w:val="00357F5B"/>
    <w:rsid w:val="003602DE"/>
    <w:rsid w:val="003605B6"/>
    <w:rsid w:val="0036069F"/>
    <w:rsid w:val="00360724"/>
    <w:rsid w:val="00361010"/>
    <w:rsid w:val="003612E9"/>
    <w:rsid w:val="0036217B"/>
    <w:rsid w:val="00362350"/>
    <w:rsid w:val="00362357"/>
    <w:rsid w:val="00362475"/>
    <w:rsid w:val="003624FC"/>
    <w:rsid w:val="003634DA"/>
    <w:rsid w:val="0036359B"/>
    <w:rsid w:val="003635F0"/>
    <w:rsid w:val="00363794"/>
    <w:rsid w:val="00363B4C"/>
    <w:rsid w:val="00364296"/>
    <w:rsid w:val="00364844"/>
    <w:rsid w:val="00364B13"/>
    <w:rsid w:val="00364C17"/>
    <w:rsid w:val="0036526D"/>
    <w:rsid w:val="00365DDD"/>
    <w:rsid w:val="00365DF5"/>
    <w:rsid w:val="003662A2"/>
    <w:rsid w:val="003664F5"/>
    <w:rsid w:val="00366C94"/>
    <w:rsid w:val="00366E5D"/>
    <w:rsid w:val="00366F3F"/>
    <w:rsid w:val="00366F7B"/>
    <w:rsid w:val="00367005"/>
    <w:rsid w:val="00367118"/>
    <w:rsid w:val="003673A2"/>
    <w:rsid w:val="00367B6C"/>
    <w:rsid w:val="00370528"/>
    <w:rsid w:val="00370653"/>
    <w:rsid w:val="00370859"/>
    <w:rsid w:val="003710C8"/>
    <w:rsid w:val="00371737"/>
    <w:rsid w:val="0037183F"/>
    <w:rsid w:val="00371944"/>
    <w:rsid w:val="00371AAA"/>
    <w:rsid w:val="00371AEC"/>
    <w:rsid w:val="00372246"/>
    <w:rsid w:val="0037237D"/>
    <w:rsid w:val="00372693"/>
    <w:rsid w:val="003733A3"/>
    <w:rsid w:val="003736DF"/>
    <w:rsid w:val="003743AA"/>
    <w:rsid w:val="00374654"/>
    <w:rsid w:val="00374C59"/>
    <w:rsid w:val="00374E30"/>
    <w:rsid w:val="00374E67"/>
    <w:rsid w:val="003754BA"/>
    <w:rsid w:val="00375624"/>
    <w:rsid w:val="0037584B"/>
    <w:rsid w:val="003759A1"/>
    <w:rsid w:val="00375BE9"/>
    <w:rsid w:val="00375D21"/>
    <w:rsid w:val="00375EF5"/>
    <w:rsid w:val="003761C4"/>
    <w:rsid w:val="003761DC"/>
    <w:rsid w:val="003766BD"/>
    <w:rsid w:val="0037674D"/>
    <w:rsid w:val="00376852"/>
    <w:rsid w:val="00376E3F"/>
    <w:rsid w:val="00376EE6"/>
    <w:rsid w:val="00377705"/>
    <w:rsid w:val="00377A1F"/>
    <w:rsid w:val="00377F83"/>
    <w:rsid w:val="0038019E"/>
    <w:rsid w:val="00380981"/>
    <w:rsid w:val="003813F7"/>
    <w:rsid w:val="00381684"/>
    <w:rsid w:val="00381D89"/>
    <w:rsid w:val="003824AD"/>
    <w:rsid w:val="00382989"/>
    <w:rsid w:val="00382A50"/>
    <w:rsid w:val="00382B21"/>
    <w:rsid w:val="00382B46"/>
    <w:rsid w:val="00382C9E"/>
    <w:rsid w:val="003830D3"/>
    <w:rsid w:val="003831D5"/>
    <w:rsid w:val="00383208"/>
    <w:rsid w:val="003838A1"/>
    <w:rsid w:val="00383E04"/>
    <w:rsid w:val="00384C6A"/>
    <w:rsid w:val="003851C7"/>
    <w:rsid w:val="003852B9"/>
    <w:rsid w:val="00385368"/>
    <w:rsid w:val="00385B57"/>
    <w:rsid w:val="0038658E"/>
    <w:rsid w:val="00386BFA"/>
    <w:rsid w:val="00386DDA"/>
    <w:rsid w:val="00387A2B"/>
    <w:rsid w:val="00390300"/>
    <w:rsid w:val="00390510"/>
    <w:rsid w:val="0039062D"/>
    <w:rsid w:val="003906AC"/>
    <w:rsid w:val="00390BB4"/>
    <w:rsid w:val="003911A5"/>
    <w:rsid w:val="003920EF"/>
    <w:rsid w:val="00392346"/>
    <w:rsid w:val="0039268D"/>
    <w:rsid w:val="003929E6"/>
    <w:rsid w:val="00392BBE"/>
    <w:rsid w:val="003936E8"/>
    <w:rsid w:val="00393787"/>
    <w:rsid w:val="00393D7D"/>
    <w:rsid w:val="00393F94"/>
    <w:rsid w:val="00394899"/>
    <w:rsid w:val="0039545B"/>
    <w:rsid w:val="00395462"/>
    <w:rsid w:val="0039579C"/>
    <w:rsid w:val="00395898"/>
    <w:rsid w:val="00395AB7"/>
    <w:rsid w:val="00395C0B"/>
    <w:rsid w:val="0039614C"/>
    <w:rsid w:val="00396168"/>
    <w:rsid w:val="003961B8"/>
    <w:rsid w:val="00396614"/>
    <w:rsid w:val="003966DD"/>
    <w:rsid w:val="00396AB1"/>
    <w:rsid w:val="00396E32"/>
    <w:rsid w:val="00396F2A"/>
    <w:rsid w:val="00396FC2"/>
    <w:rsid w:val="003971A6"/>
    <w:rsid w:val="00397206"/>
    <w:rsid w:val="00397230"/>
    <w:rsid w:val="00397A1D"/>
    <w:rsid w:val="00397CEC"/>
    <w:rsid w:val="00397F09"/>
    <w:rsid w:val="003A02BE"/>
    <w:rsid w:val="003A0357"/>
    <w:rsid w:val="003A08F6"/>
    <w:rsid w:val="003A13BA"/>
    <w:rsid w:val="003A140D"/>
    <w:rsid w:val="003A14EF"/>
    <w:rsid w:val="003A17BD"/>
    <w:rsid w:val="003A19AB"/>
    <w:rsid w:val="003A1DF7"/>
    <w:rsid w:val="003A25B8"/>
    <w:rsid w:val="003A278B"/>
    <w:rsid w:val="003A2A84"/>
    <w:rsid w:val="003A2B85"/>
    <w:rsid w:val="003A2C48"/>
    <w:rsid w:val="003A3942"/>
    <w:rsid w:val="003A3AEC"/>
    <w:rsid w:val="003A41E2"/>
    <w:rsid w:val="003A467D"/>
    <w:rsid w:val="003A4763"/>
    <w:rsid w:val="003A57D6"/>
    <w:rsid w:val="003A5918"/>
    <w:rsid w:val="003A63A8"/>
    <w:rsid w:val="003A6C1D"/>
    <w:rsid w:val="003A75FE"/>
    <w:rsid w:val="003A78F3"/>
    <w:rsid w:val="003A7E35"/>
    <w:rsid w:val="003B0400"/>
    <w:rsid w:val="003B157E"/>
    <w:rsid w:val="003B20FE"/>
    <w:rsid w:val="003B2441"/>
    <w:rsid w:val="003B25FA"/>
    <w:rsid w:val="003B270F"/>
    <w:rsid w:val="003B2B5C"/>
    <w:rsid w:val="003B2F87"/>
    <w:rsid w:val="003B3195"/>
    <w:rsid w:val="003B3287"/>
    <w:rsid w:val="003B3973"/>
    <w:rsid w:val="003B3BE5"/>
    <w:rsid w:val="003B4217"/>
    <w:rsid w:val="003B4D0B"/>
    <w:rsid w:val="003B4FD2"/>
    <w:rsid w:val="003B510C"/>
    <w:rsid w:val="003B53AC"/>
    <w:rsid w:val="003B560F"/>
    <w:rsid w:val="003B5FF2"/>
    <w:rsid w:val="003B6399"/>
    <w:rsid w:val="003B671B"/>
    <w:rsid w:val="003B687D"/>
    <w:rsid w:val="003B729A"/>
    <w:rsid w:val="003B740C"/>
    <w:rsid w:val="003B779C"/>
    <w:rsid w:val="003B79DC"/>
    <w:rsid w:val="003C0D6A"/>
    <w:rsid w:val="003C0D7B"/>
    <w:rsid w:val="003C0FB9"/>
    <w:rsid w:val="003C168C"/>
    <w:rsid w:val="003C1B03"/>
    <w:rsid w:val="003C209A"/>
    <w:rsid w:val="003C20E0"/>
    <w:rsid w:val="003C22A4"/>
    <w:rsid w:val="003C24C7"/>
    <w:rsid w:val="003C2D44"/>
    <w:rsid w:val="003C2DD3"/>
    <w:rsid w:val="003C303F"/>
    <w:rsid w:val="003C338B"/>
    <w:rsid w:val="003C37F1"/>
    <w:rsid w:val="003C3951"/>
    <w:rsid w:val="003C3DE1"/>
    <w:rsid w:val="003C3E6F"/>
    <w:rsid w:val="003C3F8E"/>
    <w:rsid w:val="003C4117"/>
    <w:rsid w:val="003C4571"/>
    <w:rsid w:val="003C468B"/>
    <w:rsid w:val="003C4D70"/>
    <w:rsid w:val="003C51D3"/>
    <w:rsid w:val="003C5975"/>
    <w:rsid w:val="003C5B61"/>
    <w:rsid w:val="003C62F4"/>
    <w:rsid w:val="003C64FF"/>
    <w:rsid w:val="003C6C1F"/>
    <w:rsid w:val="003C6CB9"/>
    <w:rsid w:val="003C72A5"/>
    <w:rsid w:val="003C73FF"/>
    <w:rsid w:val="003C768A"/>
    <w:rsid w:val="003C773C"/>
    <w:rsid w:val="003C7991"/>
    <w:rsid w:val="003C7A27"/>
    <w:rsid w:val="003D050C"/>
    <w:rsid w:val="003D0556"/>
    <w:rsid w:val="003D0804"/>
    <w:rsid w:val="003D0F79"/>
    <w:rsid w:val="003D0F82"/>
    <w:rsid w:val="003D0FCA"/>
    <w:rsid w:val="003D1490"/>
    <w:rsid w:val="003D155B"/>
    <w:rsid w:val="003D1930"/>
    <w:rsid w:val="003D1BE4"/>
    <w:rsid w:val="003D1F3C"/>
    <w:rsid w:val="003D234D"/>
    <w:rsid w:val="003D2700"/>
    <w:rsid w:val="003D28AC"/>
    <w:rsid w:val="003D28F5"/>
    <w:rsid w:val="003D2ABD"/>
    <w:rsid w:val="003D2D13"/>
    <w:rsid w:val="003D2D1B"/>
    <w:rsid w:val="003D325F"/>
    <w:rsid w:val="003D3511"/>
    <w:rsid w:val="003D3E06"/>
    <w:rsid w:val="003D403A"/>
    <w:rsid w:val="003D413C"/>
    <w:rsid w:val="003D4319"/>
    <w:rsid w:val="003D4548"/>
    <w:rsid w:val="003D4587"/>
    <w:rsid w:val="003D48A2"/>
    <w:rsid w:val="003D5A8D"/>
    <w:rsid w:val="003D5B0E"/>
    <w:rsid w:val="003D5F76"/>
    <w:rsid w:val="003D6170"/>
    <w:rsid w:val="003D65BF"/>
    <w:rsid w:val="003D66A2"/>
    <w:rsid w:val="003D6732"/>
    <w:rsid w:val="003D6D91"/>
    <w:rsid w:val="003D6E1C"/>
    <w:rsid w:val="003D7250"/>
    <w:rsid w:val="003D76EE"/>
    <w:rsid w:val="003D7B4C"/>
    <w:rsid w:val="003D7BBB"/>
    <w:rsid w:val="003E0381"/>
    <w:rsid w:val="003E0CA9"/>
    <w:rsid w:val="003E0E2C"/>
    <w:rsid w:val="003E1454"/>
    <w:rsid w:val="003E164A"/>
    <w:rsid w:val="003E1A9F"/>
    <w:rsid w:val="003E1EE8"/>
    <w:rsid w:val="003E25B5"/>
    <w:rsid w:val="003E2AD9"/>
    <w:rsid w:val="003E2DB7"/>
    <w:rsid w:val="003E3101"/>
    <w:rsid w:val="003E32DE"/>
    <w:rsid w:val="003E3472"/>
    <w:rsid w:val="003E3E25"/>
    <w:rsid w:val="003E43D0"/>
    <w:rsid w:val="003E476E"/>
    <w:rsid w:val="003E4789"/>
    <w:rsid w:val="003E49B2"/>
    <w:rsid w:val="003E4C9D"/>
    <w:rsid w:val="003E4FCD"/>
    <w:rsid w:val="003E5859"/>
    <w:rsid w:val="003E65B3"/>
    <w:rsid w:val="003E676B"/>
    <w:rsid w:val="003E68AD"/>
    <w:rsid w:val="003E68AE"/>
    <w:rsid w:val="003E69D1"/>
    <w:rsid w:val="003E6A0B"/>
    <w:rsid w:val="003E727F"/>
    <w:rsid w:val="003E788D"/>
    <w:rsid w:val="003E7939"/>
    <w:rsid w:val="003F0A79"/>
    <w:rsid w:val="003F1084"/>
    <w:rsid w:val="003F1414"/>
    <w:rsid w:val="003F1653"/>
    <w:rsid w:val="003F2171"/>
    <w:rsid w:val="003F23E7"/>
    <w:rsid w:val="003F27C8"/>
    <w:rsid w:val="003F28D0"/>
    <w:rsid w:val="003F2ABD"/>
    <w:rsid w:val="003F2F4E"/>
    <w:rsid w:val="003F33E4"/>
    <w:rsid w:val="003F35BF"/>
    <w:rsid w:val="003F3C0F"/>
    <w:rsid w:val="003F400E"/>
    <w:rsid w:val="003F40EE"/>
    <w:rsid w:val="003F4638"/>
    <w:rsid w:val="003F46D5"/>
    <w:rsid w:val="003F5196"/>
    <w:rsid w:val="003F57B2"/>
    <w:rsid w:val="003F5841"/>
    <w:rsid w:val="003F5885"/>
    <w:rsid w:val="003F58C5"/>
    <w:rsid w:val="003F5B5D"/>
    <w:rsid w:val="003F5C24"/>
    <w:rsid w:val="003F66D7"/>
    <w:rsid w:val="003F6C74"/>
    <w:rsid w:val="003F7B13"/>
    <w:rsid w:val="004007E5"/>
    <w:rsid w:val="0040274D"/>
    <w:rsid w:val="0040363B"/>
    <w:rsid w:val="0040414E"/>
    <w:rsid w:val="004045E7"/>
    <w:rsid w:val="00404BAB"/>
    <w:rsid w:val="00404E43"/>
    <w:rsid w:val="00404F5A"/>
    <w:rsid w:val="004052A0"/>
    <w:rsid w:val="004056FD"/>
    <w:rsid w:val="00405753"/>
    <w:rsid w:val="00405C8E"/>
    <w:rsid w:val="00406104"/>
    <w:rsid w:val="0040617B"/>
    <w:rsid w:val="00406A74"/>
    <w:rsid w:val="00406C58"/>
    <w:rsid w:val="0040700A"/>
    <w:rsid w:val="004075D9"/>
    <w:rsid w:val="00407755"/>
    <w:rsid w:val="004077AD"/>
    <w:rsid w:val="00407A1A"/>
    <w:rsid w:val="00407A1B"/>
    <w:rsid w:val="0041001E"/>
    <w:rsid w:val="00410667"/>
    <w:rsid w:val="004108BE"/>
    <w:rsid w:val="00410A50"/>
    <w:rsid w:val="00410DF4"/>
    <w:rsid w:val="00410F6A"/>
    <w:rsid w:val="0041109B"/>
    <w:rsid w:val="004120BB"/>
    <w:rsid w:val="004124EB"/>
    <w:rsid w:val="004126B1"/>
    <w:rsid w:val="0041280E"/>
    <w:rsid w:val="0041288C"/>
    <w:rsid w:val="004131F7"/>
    <w:rsid w:val="004133BB"/>
    <w:rsid w:val="00413B57"/>
    <w:rsid w:val="00413D75"/>
    <w:rsid w:val="00414C97"/>
    <w:rsid w:val="0041541D"/>
    <w:rsid w:val="004154AF"/>
    <w:rsid w:val="004157B9"/>
    <w:rsid w:val="00415CAA"/>
    <w:rsid w:val="00416235"/>
    <w:rsid w:val="004162C4"/>
    <w:rsid w:val="0041677B"/>
    <w:rsid w:val="00416C7D"/>
    <w:rsid w:val="00416DC0"/>
    <w:rsid w:val="00417111"/>
    <w:rsid w:val="0041778D"/>
    <w:rsid w:val="00417996"/>
    <w:rsid w:val="00417DA6"/>
    <w:rsid w:val="0042015D"/>
    <w:rsid w:val="00420177"/>
    <w:rsid w:val="00420A63"/>
    <w:rsid w:val="004211BD"/>
    <w:rsid w:val="00421AD9"/>
    <w:rsid w:val="0042275D"/>
    <w:rsid w:val="00422853"/>
    <w:rsid w:val="00422DD8"/>
    <w:rsid w:val="004234D4"/>
    <w:rsid w:val="004243BB"/>
    <w:rsid w:val="00424B94"/>
    <w:rsid w:val="00424BD7"/>
    <w:rsid w:val="00424DF0"/>
    <w:rsid w:val="0042558D"/>
    <w:rsid w:val="0042579B"/>
    <w:rsid w:val="00425C8B"/>
    <w:rsid w:val="00425DBD"/>
    <w:rsid w:val="00425F4B"/>
    <w:rsid w:val="00425F77"/>
    <w:rsid w:val="004273D9"/>
    <w:rsid w:val="00427475"/>
    <w:rsid w:val="004279D0"/>
    <w:rsid w:val="00427E17"/>
    <w:rsid w:val="0043002D"/>
    <w:rsid w:val="00430041"/>
    <w:rsid w:val="00430577"/>
    <w:rsid w:val="00430964"/>
    <w:rsid w:val="00430BA3"/>
    <w:rsid w:val="00430EDB"/>
    <w:rsid w:val="0043129A"/>
    <w:rsid w:val="00431A01"/>
    <w:rsid w:val="00431B05"/>
    <w:rsid w:val="00432062"/>
    <w:rsid w:val="0043246F"/>
    <w:rsid w:val="0043288B"/>
    <w:rsid w:val="004329D0"/>
    <w:rsid w:val="00432D8D"/>
    <w:rsid w:val="00432E87"/>
    <w:rsid w:val="00433001"/>
    <w:rsid w:val="00433182"/>
    <w:rsid w:val="00433722"/>
    <w:rsid w:val="00434617"/>
    <w:rsid w:val="00434E60"/>
    <w:rsid w:val="004350ED"/>
    <w:rsid w:val="00435292"/>
    <w:rsid w:val="0043576E"/>
    <w:rsid w:val="00435F33"/>
    <w:rsid w:val="00436102"/>
    <w:rsid w:val="00436454"/>
    <w:rsid w:val="00436764"/>
    <w:rsid w:val="0043680B"/>
    <w:rsid w:val="00436BD7"/>
    <w:rsid w:val="00436F10"/>
    <w:rsid w:val="00436F48"/>
    <w:rsid w:val="00437373"/>
    <w:rsid w:val="004373C4"/>
    <w:rsid w:val="004373CD"/>
    <w:rsid w:val="004374C9"/>
    <w:rsid w:val="00437623"/>
    <w:rsid w:val="00437689"/>
    <w:rsid w:val="004379E2"/>
    <w:rsid w:val="00437CFD"/>
    <w:rsid w:val="00437FE6"/>
    <w:rsid w:val="0044019B"/>
    <w:rsid w:val="00440298"/>
    <w:rsid w:val="004408B9"/>
    <w:rsid w:val="004414AF"/>
    <w:rsid w:val="0044196F"/>
    <w:rsid w:val="004419E8"/>
    <w:rsid w:val="00441B77"/>
    <w:rsid w:val="00441BDC"/>
    <w:rsid w:val="00442A6C"/>
    <w:rsid w:val="00442D18"/>
    <w:rsid w:val="00442DAB"/>
    <w:rsid w:val="00443283"/>
    <w:rsid w:val="00443756"/>
    <w:rsid w:val="00443BD2"/>
    <w:rsid w:val="00443E20"/>
    <w:rsid w:val="00444039"/>
    <w:rsid w:val="00444411"/>
    <w:rsid w:val="00444437"/>
    <w:rsid w:val="004447FF"/>
    <w:rsid w:val="00444BDC"/>
    <w:rsid w:val="00445193"/>
    <w:rsid w:val="004451B4"/>
    <w:rsid w:val="00445208"/>
    <w:rsid w:val="004458B3"/>
    <w:rsid w:val="0044655A"/>
    <w:rsid w:val="00446643"/>
    <w:rsid w:val="00446B88"/>
    <w:rsid w:val="00447330"/>
    <w:rsid w:val="00447A4B"/>
    <w:rsid w:val="0045002E"/>
    <w:rsid w:val="004506E9"/>
    <w:rsid w:val="00450CCE"/>
    <w:rsid w:val="00450EBB"/>
    <w:rsid w:val="00450EC8"/>
    <w:rsid w:val="00451681"/>
    <w:rsid w:val="00451979"/>
    <w:rsid w:val="00451AF6"/>
    <w:rsid w:val="00451C80"/>
    <w:rsid w:val="004522AC"/>
    <w:rsid w:val="004522D4"/>
    <w:rsid w:val="00452456"/>
    <w:rsid w:val="004535BC"/>
    <w:rsid w:val="0045361E"/>
    <w:rsid w:val="0045367B"/>
    <w:rsid w:val="004537B4"/>
    <w:rsid w:val="00453A06"/>
    <w:rsid w:val="004544F8"/>
    <w:rsid w:val="00454793"/>
    <w:rsid w:val="0045490A"/>
    <w:rsid w:val="00454B88"/>
    <w:rsid w:val="00454D56"/>
    <w:rsid w:val="00454D9F"/>
    <w:rsid w:val="00455081"/>
    <w:rsid w:val="004550B7"/>
    <w:rsid w:val="004552FA"/>
    <w:rsid w:val="0045598B"/>
    <w:rsid w:val="00455AE9"/>
    <w:rsid w:val="00455B24"/>
    <w:rsid w:val="00455FE9"/>
    <w:rsid w:val="00456466"/>
    <w:rsid w:val="00456A81"/>
    <w:rsid w:val="00456AB1"/>
    <w:rsid w:val="00456B1A"/>
    <w:rsid w:val="00456C7B"/>
    <w:rsid w:val="00456E42"/>
    <w:rsid w:val="00457245"/>
    <w:rsid w:val="00457589"/>
    <w:rsid w:val="0045778C"/>
    <w:rsid w:val="004577CB"/>
    <w:rsid w:val="004579E2"/>
    <w:rsid w:val="00457B47"/>
    <w:rsid w:val="00457E5B"/>
    <w:rsid w:val="00457F7F"/>
    <w:rsid w:val="00460403"/>
    <w:rsid w:val="00460C05"/>
    <w:rsid w:val="00461398"/>
    <w:rsid w:val="00461431"/>
    <w:rsid w:val="004625AE"/>
    <w:rsid w:val="00462865"/>
    <w:rsid w:val="0046297C"/>
    <w:rsid w:val="00462B8F"/>
    <w:rsid w:val="00462D58"/>
    <w:rsid w:val="00463382"/>
    <w:rsid w:val="00463E5D"/>
    <w:rsid w:val="00463F27"/>
    <w:rsid w:val="00464708"/>
    <w:rsid w:val="00464A19"/>
    <w:rsid w:val="00464AC9"/>
    <w:rsid w:val="00464FAA"/>
    <w:rsid w:val="004654EE"/>
    <w:rsid w:val="00465656"/>
    <w:rsid w:val="00465802"/>
    <w:rsid w:val="00465C72"/>
    <w:rsid w:val="00465EC0"/>
    <w:rsid w:val="00465F3B"/>
    <w:rsid w:val="004666A5"/>
    <w:rsid w:val="00466884"/>
    <w:rsid w:val="00466BBC"/>
    <w:rsid w:val="00466C2A"/>
    <w:rsid w:val="00466F68"/>
    <w:rsid w:val="004671E6"/>
    <w:rsid w:val="00467409"/>
    <w:rsid w:val="00467431"/>
    <w:rsid w:val="00467893"/>
    <w:rsid w:val="00467B0A"/>
    <w:rsid w:val="00467B8F"/>
    <w:rsid w:val="00467BF3"/>
    <w:rsid w:val="004700A8"/>
    <w:rsid w:val="0047070E"/>
    <w:rsid w:val="00470A42"/>
    <w:rsid w:val="0047103C"/>
    <w:rsid w:val="00471E12"/>
    <w:rsid w:val="00472282"/>
    <w:rsid w:val="00472556"/>
    <w:rsid w:val="00472898"/>
    <w:rsid w:val="00472A7D"/>
    <w:rsid w:val="00472DED"/>
    <w:rsid w:val="00472FBF"/>
    <w:rsid w:val="00473405"/>
    <w:rsid w:val="004735F1"/>
    <w:rsid w:val="004737F1"/>
    <w:rsid w:val="00473867"/>
    <w:rsid w:val="004738CA"/>
    <w:rsid w:val="00473A39"/>
    <w:rsid w:val="00473B57"/>
    <w:rsid w:val="0047416D"/>
    <w:rsid w:val="004741F9"/>
    <w:rsid w:val="004744CE"/>
    <w:rsid w:val="004746BD"/>
    <w:rsid w:val="0047471E"/>
    <w:rsid w:val="00474A5E"/>
    <w:rsid w:val="00474CD6"/>
    <w:rsid w:val="00474EF6"/>
    <w:rsid w:val="004752CA"/>
    <w:rsid w:val="00475421"/>
    <w:rsid w:val="00475BC0"/>
    <w:rsid w:val="0047603C"/>
    <w:rsid w:val="00476B36"/>
    <w:rsid w:val="004777C0"/>
    <w:rsid w:val="0047789B"/>
    <w:rsid w:val="00477C22"/>
    <w:rsid w:val="00480606"/>
    <w:rsid w:val="00480624"/>
    <w:rsid w:val="00480A7B"/>
    <w:rsid w:val="00480B0B"/>
    <w:rsid w:val="00481328"/>
    <w:rsid w:val="004816B5"/>
    <w:rsid w:val="00481761"/>
    <w:rsid w:val="00481A30"/>
    <w:rsid w:val="00482768"/>
    <w:rsid w:val="00482A2A"/>
    <w:rsid w:val="00482B82"/>
    <w:rsid w:val="00482E8E"/>
    <w:rsid w:val="00482F3B"/>
    <w:rsid w:val="00482FEC"/>
    <w:rsid w:val="0048315E"/>
    <w:rsid w:val="00483449"/>
    <w:rsid w:val="004834DF"/>
    <w:rsid w:val="00483679"/>
    <w:rsid w:val="00483EA7"/>
    <w:rsid w:val="0048425C"/>
    <w:rsid w:val="004843FA"/>
    <w:rsid w:val="0048450A"/>
    <w:rsid w:val="0048461D"/>
    <w:rsid w:val="00484A7A"/>
    <w:rsid w:val="00484C1E"/>
    <w:rsid w:val="00484F19"/>
    <w:rsid w:val="004852E3"/>
    <w:rsid w:val="004857A4"/>
    <w:rsid w:val="004859C2"/>
    <w:rsid w:val="00486520"/>
    <w:rsid w:val="004869FF"/>
    <w:rsid w:val="00486D2A"/>
    <w:rsid w:val="004872F3"/>
    <w:rsid w:val="00490038"/>
    <w:rsid w:val="004903E1"/>
    <w:rsid w:val="004909CD"/>
    <w:rsid w:val="004911A4"/>
    <w:rsid w:val="0049144D"/>
    <w:rsid w:val="00491839"/>
    <w:rsid w:val="00491A8F"/>
    <w:rsid w:val="00491CEB"/>
    <w:rsid w:val="004923A5"/>
    <w:rsid w:val="004923FA"/>
    <w:rsid w:val="00492486"/>
    <w:rsid w:val="00492544"/>
    <w:rsid w:val="004925DA"/>
    <w:rsid w:val="00492C6B"/>
    <w:rsid w:val="00492E53"/>
    <w:rsid w:val="00493678"/>
    <w:rsid w:val="00493988"/>
    <w:rsid w:val="004942BC"/>
    <w:rsid w:val="0049443E"/>
    <w:rsid w:val="004945BD"/>
    <w:rsid w:val="00494972"/>
    <w:rsid w:val="00494D2D"/>
    <w:rsid w:val="004954EE"/>
    <w:rsid w:val="004954FB"/>
    <w:rsid w:val="004958AE"/>
    <w:rsid w:val="00495C15"/>
    <w:rsid w:val="004960E0"/>
    <w:rsid w:val="00496979"/>
    <w:rsid w:val="0049715B"/>
    <w:rsid w:val="00497562"/>
    <w:rsid w:val="00497593"/>
    <w:rsid w:val="0049775B"/>
    <w:rsid w:val="00497EBD"/>
    <w:rsid w:val="004A0A73"/>
    <w:rsid w:val="004A1346"/>
    <w:rsid w:val="004A14FB"/>
    <w:rsid w:val="004A1831"/>
    <w:rsid w:val="004A186E"/>
    <w:rsid w:val="004A1C73"/>
    <w:rsid w:val="004A1D48"/>
    <w:rsid w:val="004A1F32"/>
    <w:rsid w:val="004A23D7"/>
    <w:rsid w:val="004A3399"/>
    <w:rsid w:val="004A34FB"/>
    <w:rsid w:val="004A35DD"/>
    <w:rsid w:val="004A3742"/>
    <w:rsid w:val="004A37E3"/>
    <w:rsid w:val="004A39D5"/>
    <w:rsid w:val="004A3B53"/>
    <w:rsid w:val="004A3E1B"/>
    <w:rsid w:val="004A4153"/>
    <w:rsid w:val="004A41FC"/>
    <w:rsid w:val="004A4B00"/>
    <w:rsid w:val="004A4C5A"/>
    <w:rsid w:val="004A5373"/>
    <w:rsid w:val="004A540A"/>
    <w:rsid w:val="004A5583"/>
    <w:rsid w:val="004A5B1A"/>
    <w:rsid w:val="004A5C99"/>
    <w:rsid w:val="004A637A"/>
    <w:rsid w:val="004A63A0"/>
    <w:rsid w:val="004A667B"/>
    <w:rsid w:val="004A66D9"/>
    <w:rsid w:val="004A6E54"/>
    <w:rsid w:val="004A6F6B"/>
    <w:rsid w:val="004A700F"/>
    <w:rsid w:val="004A7746"/>
    <w:rsid w:val="004A79E5"/>
    <w:rsid w:val="004A7D27"/>
    <w:rsid w:val="004A7E3D"/>
    <w:rsid w:val="004B010A"/>
    <w:rsid w:val="004B047F"/>
    <w:rsid w:val="004B07A9"/>
    <w:rsid w:val="004B101B"/>
    <w:rsid w:val="004B1304"/>
    <w:rsid w:val="004B17C8"/>
    <w:rsid w:val="004B1A95"/>
    <w:rsid w:val="004B1B2C"/>
    <w:rsid w:val="004B1C53"/>
    <w:rsid w:val="004B2730"/>
    <w:rsid w:val="004B2ACC"/>
    <w:rsid w:val="004B3B07"/>
    <w:rsid w:val="004B3F83"/>
    <w:rsid w:val="004B3F8C"/>
    <w:rsid w:val="004B4077"/>
    <w:rsid w:val="004B42FE"/>
    <w:rsid w:val="004B4D6F"/>
    <w:rsid w:val="004B4F1A"/>
    <w:rsid w:val="004B5293"/>
    <w:rsid w:val="004B539E"/>
    <w:rsid w:val="004B588B"/>
    <w:rsid w:val="004B5D04"/>
    <w:rsid w:val="004B6184"/>
    <w:rsid w:val="004B69BB"/>
    <w:rsid w:val="004B6DA0"/>
    <w:rsid w:val="004B6FF7"/>
    <w:rsid w:val="004B776F"/>
    <w:rsid w:val="004B78AE"/>
    <w:rsid w:val="004B7A96"/>
    <w:rsid w:val="004B7CDB"/>
    <w:rsid w:val="004C035D"/>
    <w:rsid w:val="004C04A1"/>
    <w:rsid w:val="004C068A"/>
    <w:rsid w:val="004C069B"/>
    <w:rsid w:val="004C0D00"/>
    <w:rsid w:val="004C0D1F"/>
    <w:rsid w:val="004C0EC0"/>
    <w:rsid w:val="004C129D"/>
    <w:rsid w:val="004C12C1"/>
    <w:rsid w:val="004C1410"/>
    <w:rsid w:val="004C1ECC"/>
    <w:rsid w:val="004C2203"/>
    <w:rsid w:val="004C240D"/>
    <w:rsid w:val="004C2993"/>
    <w:rsid w:val="004C331A"/>
    <w:rsid w:val="004C38A8"/>
    <w:rsid w:val="004C3986"/>
    <w:rsid w:val="004C3ABF"/>
    <w:rsid w:val="004C3AE3"/>
    <w:rsid w:val="004C41F4"/>
    <w:rsid w:val="004C467B"/>
    <w:rsid w:val="004C4809"/>
    <w:rsid w:val="004C4896"/>
    <w:rsid w:val="004C49B9"/>
    <w:rsid w:val="004C4B45"/>
    <w:rsid w:val="004C4E0B"/>
    <w:rsid w:val="004C5185"/>
    <w:rsid w:val="004C550A"/>
    <w:rsid w:val="004C57B2"/>
    <w:rsid w:val="004C5C36"/>
    <w:rsid w:val="004C605A"/>
    <w:rsid w:val="004C6F92"/>
    <w:rsid w:val="004C73A6"/>
    <w:rsid w:val="004C7688"/>
    <w:rsid w:val="004D00BD"/>
    <w:rsid w:val="004D022B"/>
    <w:rsid w:val="004D037F"/>
    <w:rsid w:val="004D09F5"/>
    <w:rsid w:val="004D0B8E"/>
    <w:rsid w:val="004D0C94"/>
    <w:rsid w:val="004D0CA0"/>
    <w:rsid w:val="004D0EA5"/>
    <w:rsid w:val="004D1B98"/>
    <w:rsid w:val="004D1CBA"/>
    <w:rsid w:val="004D24B0"/>
    <w:rsid w:val="004D281A"/>
    <w:rsid w:val="004D369F"/>
    <w:rsid w:val="004D3946"/>
    <w:rsid w:val="004D3EA8"/>
    <w:rsid w:val="004D412A"/>
    <w:rsid w:val="004D429B"/>
    <w:rsid w:val="004D43BE"/>
    <w:rsid w:val="004D44A3"/>
    <w:rsid w:val="004D48DC"/>
    <w:rsid w:val="004D49A3"/>
    <w:rsid w:val="004D4EE3"/>
    <w:rsid w:val="004D535D"/>
    <w:rsid w:val="004D54C8"/>
    <w:rsid w:val="004D553D"/>
    <w:rsid w:val="004D55E5"/>
    <w:rsid w:val="004D57B2"/>
    <w:rsid w:val="004D6421"/>
    <w:rsid w:val="004D6F0E"/>
    <w:rsid w:val="004D6F3B"/>
    <w:rsid w:val="004D733C"/>
    <w:rsid w:val="004D75E1"/>
    <w:rsid w:val="004D7EA7"/>
    <w:rsid w:val="004D7FB7"/>
    <w:rsid w:val="004E013E"/>
    <w:rsid w:val="004E0943"/>
    <w:rsid w:val="004E0B10"/>
    <w:rsid w:val="004E0B1B"/>
    <w:rsid w:val="004E0E58"/>
    <w:rsid w:val="004E18F4"/>
    <w:rsid w:val="004E19CA"/>
    <w:rsid w:val="004E1ACE"/>
    <w:rsid w:val="004E1B43"/>
    <w:rsid w:val="004E1C38"/>
    <w:rsid w:val="004E2488"/>
    <w:rsid w:val="004E26E5"/>
    <w:rsid w:val="004E2A19"/>
    <w:rsid w:val="004E2C61"/>
    <w:rsid w:val="004E2EF7"/>
    <w:rsid w:val="004E33E6"/>
    <w:rsid w:val="004E3572"/>
    <w:rsid w:val="004E3871"/>
    <w:rsid w:val="004E3AAF"/>
    <w:rsid w:val="004E42E5"/>
    <w:rsid w:val="004E4830"/>
    <w:rsid w:val="004E49B9"/>
    <w:rsid w:val="004E4AD5"/>
    <w:rsid w:val="004E4DFA"/>
    <w:rsid w:val="004E5468"/>
    <w:rsid w:val="004E56C2"/>
    <w:rsid w:val="004E5827"/>
    <w:rsid w:val="004E5AE1"/>
    <w:rsid w:val="004E5B3F"/>
    <w:rsid w:val="004E5CEF"/>
    <w:rsid w:val="004E6231"/>
    <w:rsid w:val="004E6284"/>
    <w:rsid w:val="004E633C"/>
    <w:rsid w:val="004E669E"/>
    <w:rsid w:val="004E66CE"/>
    <w:rsid w:val="004E6ACB"/>
    <w:rsid w:val="004E718D"/>
    <w:rsid w:val="004E7411"/>
    <w:rsid w:val="004E775C"/>
    <w:rsid w:val="004E7D6E"/>
    <w:rsid w:val="004E7D94"/>
    <w:rsid w:val="004E7ED3"/>
    <w:rsid w:val="004F07E6"/>
    <w:rsid w:val="004F092D"/>
    <w:rsid w:val="004F0AD8"/>
    <w:rsid w:val="004F0C51"/>
    <w:rsid w:val="004F0D26"/>
    <w:rsid w:val="004F1203"/>
    <w:rsid w:val="004F2609"/>
    <w:rsid w:val="004F26F6"/>
    <w:rsid w:val="004F2A06"/>
    <w:rsid w:val="004F2A43"/>
    <w:rsid w:val="004F2ABE"/>
    <w:rsid w:val="004F2B03"/>
    <w:rsid w:val="004F30C4"/>
    <w:rsid w:val="004F3CB5"/>
    <w:rsid w:val="004F3ED1"/>
    <w:rsid w:val="004F4622"/>
    <w:rsid w:val="004F473E"/>
    <w:rsid w:val="004F48B4"/>
    <w:rsid w:val="004F4E85"/>
    <w:rsid w:val="004F4F58"/>
    <w:rsid w:val="004F51D6"/>
    <w:rsid w:val="004F51E3"/>
    <w:rsid w:val="004F5BC1"/>
    <w:rsid w:val="004F5C53"/>
    <w:rsid w:val="004F5FE0"/>
    <w:rsid w:val="004F6164"/>
    <w:rsid w:val="004F68A8"/>
    <w:rsid w:val="004F68AF"/>
    <w:rsid w:val="004F6CEF"/>
    <w:rsid w:val="004F701C"/>
    <w:rsid w:val="004F7071"/>
    <w:rsid w:val="004F72DE"/>
    <w:rsid w:val="004F757F"/>
    <w:rsid w:val="004F75B7"/>
    <w:rsid w:val="004F7650"/>
    <w:rsid w:val="004F7BE1"/>
    <w:rsid w:val="004F7DBA"/>
    <w:rsid w:val="004F7FAD"/>
    <w:rsid w:val="00500003"/>
    <w:rsid w:val="005000F5"/>
    <w:rsid w:val="0050050B"/>
    <w:rsid w:val="005006DF"/>
    <w:rsid w:val="00500A5D"/>
    <w:rsid w:val="00500E50"/>
    <w:rsid w:val="0050196D"/>
    <w:rsid w:val="00501A4F"/>
    <w:rsid w:val="00501C3E"/>
    <w:rsid w:val="00501FC0"/>
    <w:rsid w:val="0050227F"/>
    <w:rsid w:val="005022F8"/>
    <w:rsid w:val="0050240B"/>
    <w:rsid w:val="00502957"/>
    <w:rsid w:val="00502AB3"/>
    <w:rsid w:val="00502B4E"/>
    <w:rsid w:val="00502E91"/>
    <w:rsid w:val="00503016"/>
    <w:rsid w:val="0050318F"/>
    <w:rsid w:val="005035EB"/>
    <w:rsid w:val="005038AE"/>
    <w:rsid w:val="00503ACD"/>
    <w:rsid w:val="00503BE3"/>
    <w:rsid w:val="00503E67"/>
    <w:rsid w:val="00504015"/>
    <w:rsid w:val="005046A1"/>
    <w:rsid w:val="00504AD8"/>
    <w:rsid w:val="00504C85"/>
    <w:rsid w:val="00504F72"/>
    <w:rsid w:val="00504F82"/>
    <w:rsid w:val="005053A8"/>
    <w:rsid w:val="0050561B"/>
    <w:rsid w:val="0050567A"/>
    <w:rsid w:val="00505912"/>
    <w:rsid w:val="00505AB1"/>
    <w:rsid w:val="00505C71"/>
    <w:rsid w:val="00505E26"/>
    <w:rsid w:val="00505E2C"/>
    <w:rsid w:val="00506324"/>
    <w:rsid w:val="0050632F"/>
    <w:rsid w:val="00506DF7"/>
    <w:rsid w:val="005070CB"/>
    <w:rsid w:val="00507168"/>
    <w:rsid w:val="0050785E"/>
    <w:rsid w:val="005102B8"/>
    <w:rsid w:val="00510CAF"/>
    <w:rsid w:val="005111BB"/>
    <w:rsid w:val="0051153F"/>
    <w:rsid w:val="00511624"/>
    <w:rsid w:val="00511740"/>
    <w:rsid w:val="0051181E"/>
    <w:rsid w:val="00511E22"/>
    <w:rsid w:val="00511FA4"/>
    <w:rsid w:val="00511FE6"/>
    <w:rsid w:val="00512290"/>
    <w:rsid w:val="00512366"/>
    <w:rsid w:val="0051245F"/>
    <w:rsid w:val="00512D75"/>
    <w:rsid w:val="00513005"/>
    <w:rsid w:val="0051334E"/>
    <w:rsid w:val="00513762"/>
    <w:rsid w:val="0051376E"/>
    <w:rsid w:val="005137D8"/>
    <w:rsid w:val="00513B3B"/>
    <w:rsid w:val="00513B56"/>
    <w:rsid w:val="0051438C"/>
    <w:rsid w:val="00514617"/>
    <w:rsid w:val="00514BDF"/>
    <w:rsid w:val="005153F9"/>
    <w:rsid w:val="005155A6"/>
    <w:rsid w:val="00515CDC"/>
    <w:rsid w:val="00515DEC"/>
    <w:rsid w:val="00516121"/>
    <w:rsid w:val="00516184"/>
    <w:rsid w:val="00516882"/>
    <w:rsid w:val="00516D9B"/>
    <w:rsid w:val="00516FA1"/>
    <w:rsid w:val="005176B4"/>
    <w:rsid w:val="00517DE1"/>
    <w:rsid w:val="00520458"/>
    <w:rsid w:val="0052047D"/>
    <w:rsid w:val="00520568"/>
    <w:rsid w:val="005206C5"/>
    <w:rsid w:val="00520862"/>
    <w:rsid w:val="005208E0"/>
    <w:rsid w:val="00521B53"/>
    <w:rsid w:val="00521F99"/>
    <w:rsid w:val="005222DD"/>
    <w:rsid w:val="0052273F"/>
    <w:rsid w:val="00522CC6"/>
    <w:rsid w:val="00522D73"/>
    <w:rsid w:val="00522E54"/>
    <w:rsid w:val="00523162"/>
    <w:rsid w:val="0052317D"/>
    <w:rsid w:val="00523713"/>
    <w:rsid w:val="0052377C"/>
    <w:rsid w:val="00523B44"/>
    <w:rsid w:val="00523F70"/>
    <w:rsid w:val="00524029"/>
    <w:rsid w:val="0052459C"/>
    <w:rsid w:val="005245E1"/>
    <w:rsid w:val="005247A1"/>
    <w:rsid w:val="005248C9"/>
    <w:rsid w:val="00524FAA"/>
    <w:rsid w:val="0052526E"/>
    <w:rsid w:val="005254D5"/>
    <w:rsid w:val="0052595E"/>
    <w:rsid w:val="00525AB2"/>
    <w:rsid w:val="00525CB0"/>
    <w:rsid w:val="00525DFE"/>
    <w:rsid w:val="00525FA0"/>
    <w:rsid w:val="005266CF"/>
    <w:rsid w:val="00526AAC"/>
    <w:rsid w:val="00526FB8"/>
    <w:rsid w:val="005272F0"/>
    <w:rsid w:val="00527478"/>
    <w:rsid w:val="0052781A"/>
    <w:rsid w:val="005279CC"/>
    <w:rsid w:val="0053006D"/>
    <w:rsid w:val="005303B2"/>
    <w:rsid w:val="00530507"/>
    <w:rsid w:val="00531524"/>
    <w:rsid w:val="00531A45"/>
    <w:rsid w:val="005328E6"/>
    <w:rsid w:val="005329C2"/>
    <w:rsid w:val="005337D4"/>
    <w:rsid w:val="00533B67"/>
    <w:rsid w:val="00533D13"/>
    <w:rsid w:val="00534328"/>
    <w:rsid w:val="00535276"/>
    <w:rsid w:val="00535BCF"/>
    <w:rsid w:val="005360E7"/>
    <w:rsid w:val="005364C1"/>
    <w:rsid w:val="005368EC"/>
    <w:rsid w:val="00536E19"/>
    <w:rsid w:val="00537178"/>
    <w:rsid w:val="00537655"/>
    <w:rsid w:val="0053777A"/>
    <w:rsid w:val="00540632"/>
    <w:rsid w:val="005406D2"/>
    <w:rsid w:val="00540B30"/>
    <w:rsid w:val="00541048"/>
    <w:rsid w:val="00541296"/>
    <w:rsid w:val="005414DF"/>
    <w:rsid w:val="00541A03"/>
    <w:rsid w:val="00541C38"/>
    <w:rsid w:val="00542127"/>
    <w:rsid w:val="005421CE"/>
    <w:rsid w:val="005422E0"/>
    <w:rsid w:val="0054264D"/>
    <w:rsid w:val="005427DD"/>
    <w:rsid w:val="005431FF"/>
    <w:rsid w:val="00543E0F"/>
    <w:rsid w:val="0054409D"/>
    <w:rsid w:val="00544730"/>
    <w:rsid w:val="0054499E"/>
    <w:rsid w:val="00544E4C"/>
    <w:rsid w:val="005454E8"/>
    <w:rsid w:val="00545652"/>
    <w:rsid w:val="00545DC5"/>
    <w:rsid w:val="00545E12"/>
    <w:rsid w:val="00545F8F"/>
    <w:rsid w:val="005460B1"/>
    <w:rsid w:val="005460C0"/>
    <w:rsid w:val="005467FD"/>
    <w:rsid w:val="00546DFB"/>
    <w:rsid w:val="00546E00"/>
    <w:rsid w:val="00547161"/>
    <w:rsid w:val="00547347"/>
    <w:rsid w:val="00547887"/>
    <w:rsid w:val="0054799A"/>
    <w:rsid w:val="00547A73"/>
    <w:rsid w:val="00547BA0"/>
    <w:rsid w:val="00547F58"/>
    <w:rsid w:val="0055021C"/>
    <w:rsid w:val="005502DC"/>
    <w:rsid w:val="0055062F"/>
    <w:rsid w:val="005509DA"/>
    <w:rsid w:val="005510BB"/>
    <w:rsid w:val="005517C1"/>
    <w:rsid w:val="00551A09"/>
    <w:rsid w:val="00551F85"/>
    <w:rsid w:val="0055206D"/>
    <w:rsid w:val="00552232"/>
    <w:rsid w:val="00552534"/>
    <w:rsid w:val="0055267D"/>
    <w:rsid w:val="0055285D"/>
    <w:rsid w:val="00552D0B"/>
    <w:rsid w:val="00552D2C"/>
    <w:rsid w:val="00553279"/>
    <w:rsid w:val="00553387"/>
    <w:rsid w:val="005533C7"/>
    <w:rsid w:val="00553B31"/>
    <w:rsid w:val="00553CAE"/>
    <w:rsid w:val="00553FEF"/>
    <w:rsid w:val="00554EC8"/>
    <w:rsid w:val="0055511E"/>
    <w:rsid w:val="005551B7"/>
    <w:rsid w:val="00555454"/>
    <w:rsid w:val="005557D7"/>
    <w:rsid w:val="00555B7A"/>
    <w:rsid w:val="00555C66"/>
    <w:rsid w:val="005562DF"/>
    <w:rsid w:val="00556620"/>
    <w:rsid w:val="00556EDD"/>
    <w:rsid w:val="00557348"/>
    <w:rsid w:val="0055744C"/>
    <w:rsid w:val="00557763"/>
    <w:rsid w:val="00557B7D"/>
    <w:rsid w:val="0056004E"/>
    <w:rsid w:val="005602F4"/>
    <w:rsid w:val="00561103"/>
    <w:rsid w:val="0056123F"/>
    <w:rsid w:val="00561422"/>
    <w:rsid w:val="005614B1"/>
    <w:rsid w:val="00561C18"/>
    <w:rsid w:val="00563514"/>
    <w:rsid w:val="005637A4"/>
    <w:rsid w:val="005639BA"/>
    <w:rsid w:val="00563F4C"/>
    <w:rsid w:val="005641B2"/>
    <w:rsid w:val="0056470D"/>
    <w:rsid w:val="00564BC2"/>
    <w:rsid w:val="00564D46"/>
    <w:rsid w:val="005654B6"/>
    <w:rsid w:val="00565C03"/>
    <w:rsid w:val="00566190"/>
    <w:rsid w:val="005666A1"/>
    <w:rsid w:val="005667B7"/>
    <w:rsid w:val="00566CF2"/>
    <w:rsid w:val="005674E0"/>
    <w:rsid w:val="00567671"/>
    <w:rsid w:val="00570392"/>
    <w:rsid w:val="00570530"/>
    <w:rsid w:val="005708AF"/>
    <w:rsid w:val="00571A6A"/>
    <w:rsid w:val="00571BA2"/>
    <w:rsid w:val="005722D4"/>
    <w:rsid w:val="00572663"/>
    <w:rsid w:val="00572699"/>
    <w:rsid w:val="00572787"/>
    <w:rsid w:val="00572EEC"/>
    <w:rsid w:val="00573015"/>
    <w:rsid w:val="00574409"/>
    <w:rsid w:val="005747F1"/>
    <w:rsid w:val="00574A53"/>
    <w:rsid w:val="00574B34"/>
    <w:rsid w:val="00574C98"/>
    <w:rsid w:val="0057526C"/>
    <w:rsid w:val="00575577"/>
    <w:rsid w:val="005757F9"/>
    <w:rsid w:val="00575935"/>
    <w:rsid w:val="00576171"/>
    <w:rsid w:val="0057629F"/>
    <w:rsid w:val="005765EA"/>
    <w:rsid w:val="00576C42"/>
    <w:rsid w:val="00577004"/>
    <w:rsid w:val="00577082"/>
    <w:rsid w:val="005771B8"/>
    <w:rsid w:val="005776A9"/>
    <w:rsid w:val="00577C0E"/>
    <w:rsid w:val="00577EA1"/>
    <w:rsid w:val="005800AF"/>
    <w:rsid w:val="005804D1"/>
    <w:rsid w:val="0058066B"/>
    <w:rsid w:val="00580B93"/>
    <w:rsid w:val="00580E7C"/>
    <w:rsid w:val="00581132"/>
    <w:rsid w:val="005817E1"/>
    <w:rsid w:val="00582213"/>
    <w:rsid w:val="00582426"/>
    <w:rsid w:val="0058267C"/>
    <w:rsid w:val="005826C0"/>
    <w:rsid w:val="00582E38"/>
    <w:rsid w:val="005831F3"/>
    <w:rsid w:val="005832D4"/>
    <w:rsid w:val="0058370A"/>
    <w:rsid w:val="0058439D"/>
    <w:rsid w:val="00584445"/>
    <w:rsid w:val="005856D7"/>
    <w:rsid w:val="005857D8"/>
    <w:rsid w:val="00585A38"/>
    <w:rsid w:val="00586072"/>
    <w:rsid w:val="00586161"/>
    <w:rsid w:val="005862C0"/>
    <w:rsid w:val="00586F9E"/>
    <w:rsid w:val="00587834"/>
    <w:rsid w:val="005879B6"/>
    <w:rsid w:val="00590EE0"/>
    <w:rsid w:val="005910DE"/>
    <w:rsid w:val="005920FD"/>
    <w:rsid w:val="00592342"/>
    <w:rsid w:val="005924B3"/>
    <w:rsid w:val="005925C4"/>
    <w:rsid w:val="00592DB0"/>
    <w:rsid w:val="00592F6D"/>
    <w:rsid w:val="005932F9"/>
    <w:rsid w:val="0059379B"/>
    <w:rsid w:val="005939DD"/>
    <w:rsid w:val="00593B8B"/>
    <w:rsid w:val="00594050"/>
    <w:rsid w:val="00594129"/>
    <w:rsid w:val="0059455A"/>
    <w:rsid w:val="00594929"/>
    <w:rsid w:val="00594AB3"/>
    <w:rsid w:val="00594B2E"/>
    <w:rsid w:val="00594F86"/>
    <w:rsid w:val="00595267"/>
    <w:rsid w:val="005953AC"/>
    <w:rsid w:val="00595545"/>
    <w:rsid w:val="005956CF"/>
    <w:rsid w:val="005979A4"/>
    <w:rsid w:val="00597C26"/>
    <w:rsid w:val="005A0607"/>
    <w:rsid w:val="005A194C"/>
    <w:rsid w:val="005A1AF6"/>
    <w:rsid w:val="005A1B38"/>
    <w:rsid w:val="005A1E0F"/>
    <w:rsid w:val="005A22B2"/>
    <w:rsid w:val="005A26DB"/>
    <w:rsid w:val="005A2B12"/>
    <w:rsid w:val="005A31DF"/>
    <w:rsid w:val="005A31EF"/>
    <w:rsid w:val="005A36CA"/>
    <w:rsid w:val="005A3B5B"/>
    <w:rsid w:val="005A3E17"/>
    <w:rsid w:val="005A3F4C"/>
    <w:rsid w:val="005A3F7D"/>
    <w:rsid w:val="005A4A6E"/>
    <w:rsid w:val="005A4ED9"/>
    <w:rsid w:val="005A5017"/>
    <w:rsid w:val="005A50DD"/>
    <w:rsid w:val="005A523F"/>
    <w:rsid w:val="005A5701"/>
    <w:rsid w:val="005A5CE0"/>
    <w:rsid w:val="005A5DF7"/>
    <w:rsid w:val="005A5F09"/>
    <w:rsid w:val="005A679A"/>
    <w:rsid w:val="005A7079"/>
    <w:rsid w:val="005A7509"/>
    <w:rsid w:val="005A78C7"/>
    <w:rsid w:val="005A7CC0"/>
    <w:rsid w:val="005B0134"/>
    <w:rsid w:val="005B01EE"/>
    <w:rsid w:val="005B0422"/>
    <w:rsid w:val="005B07C9"/>
    <w:rsid w:val="005B1027"/>
    <w:rsid w:val="005B17E1"/>
    <w:rsid w:val="005B19B5"/>
    <w:rsid w:val="005B1A84"/>
    <w:rsid w:val="005B1D23"/>
    <w:rsid w:val="005B2264"/>
    <w:rsid w:val="005B22B6"/>
    <w:rsid w:val="005B2558"/>
    <w:rsid w:val="005B29E0"/>
    <w:rsid w:val="005B2AEF"/>
    <w:rsid w:val="005B2C2B"/>
    <w:rsid w:val="005B2CCD"/>
    <w:rsid w:val="005B2EE4"/>
    <w:rsid w:val="005B2EE5"/>
    <w:rsid w:val="005B2EFC"/>
    <w:rsid w:val="005B33F2"/>
    <w:rsid w:val="005B358D"/>
    <w:rsid w:val="005B35BB"/>
    <w:rsid w:val="005B3C10"/>
    <w:rsid w:val="005B48D3"/>
    <w:rsid w:val="005B4C80"/>
    <w:rsid w:val="005B4ED8"/>
    <w:rsid w:val="005B4F4B"/>
    <w:rsid w:val="005B51C3"/>
    <w:rsid w:val="005B583A"/>
    <w:rsid w:val="005B5A65"/>
    <w:rsid w:val="005B5E89"/>
    <w:rsid w:val="005B6BE8"/>
    <w:rsid w:val="005B6FD5"/>
    <w:rsid w:val="005B79AA"/>
    <w:rsid w:val="005B7E15"/>
    <w:rsid w:val="005C007F"/>
    <w:rsid w:val="005C0265"/>
    <w:rsid w:val="005C0A71"/>
    <w:rsid w:val="005C0BA1"/>
    <w:rsid w:val="005C0CB7"/>
    <w:rsid w:val="005C0DC5"/>
    <w:rsid w:val="005C1074"/>
    <w:rsid w:val="005C1962"/>
    <w:rsid w:val="005C1E10"/>
    <w:rsid w:val="005C2336"/>
    <w:rsid w:val="005C23A8"/>
    <w:rsid w:val="005C2BD0"/>
    <w:rsid w:val="005C31A2"/>
    <w:rsid w:val="005C36CC"/>
    <w:rsid w:val="005C49D5"/>
    <w:rsid w:val="005C4E8A"/>
    <w:rsid w:val="005C4F74"/>
    <w:rsid w:val="005C5383"/>
    <w:rsid w:val="005C55A3"/>
    <w:rsid w:val="005C5656"/>
    <w:rsid w:val="005C5844"/>
    <w:rsid w:val="005C5E59"/>
    <w:rsid w:val="005C68C0"/>
    <w:rsid w:val="005C6BE3"/>
    <w:rsid w:val="005C6D8D"/>
    <w:rsid w:val="005C740C"/>
    <w:rsid w:val="005C7559"/>
    <w:rsid w:val="005D0626"/>
    <w:rsid w:val="005D0658"/>
    <w:rsid w:val="005D08C3"/>
    <w:rsid w:val="005D0AD7"/>
    <w:rsid w:val="005D0EFD"/>
    <w:rsid w:val="005D1254"/>
    <w:rsid w:val="005D1692"/>
    <w:rsid w:val="005D1845"/>
    <w:rsid w:val="005D2598"/>
    <w:rsid w:val="005D3356"/>
    <w:rsid w:val="005D338E"/>
    <w:rsid w:val="005D35BA"/>
    <w:rsid w:val="005D3B41"/>
    <w:rsid w:val="005D3B6B"/>
    <w:rsid w:val="005D3D0B"/>
    <w:rsid w:val="005D40A9"/>
    <w:rsid w:val="005D4340"/>
    <w:rsid w:val="005D44B6"/>
    <w:rsid w:val="005D4733"/>
    <w:rsid w:val="005D47D1"/>
    <w:rsid w:val="005D4CC2"/>
    <w:rsid w:val="005D4F4B"/>
    <w:rsid w:val="005D573D"/>
    <w:rsid w:val="005D5A62"/>
    <w:rsid w:val="005D5AE1"/>
    <w:rsid w:val="005D5DFA"/>
    <w:rsid w:val="005D5E42"/>
    <w:rsid w:val="005D5E5C"/>
    <w:rsid w:val="005D5F74"/>
    <w:rsid w:val="005D6665"/>
    <w:rsid w:val="005D66ED"/>
    <w:rsid w:val="005D67A6"/>
    <w:rsid w:val="005D695F"/>
    <w:rsid w:val="005D69B1"/>
    <w:rsid w:val="005D6D13"/>
    <w:rsid w:val="005D748F"/>
    <w:rsid w:val="005D7639"/>
    <w:rsid w:val="005E013F"/>
    <w:rsid w:val="005E1723"/>
    <w:rsid w:val="005E1D00"/>
    <w:rsid w:val="005E1FFB"/>
    <w:rsid w:val="005E2286"/>
    <w:rsid w:val="005E2A4D"/>
    <w:rsid w:val="005E2D40"/>
    <w:rsid w:val="005E30BC"/>
    <w:rsid w:val="005E3102"/>
    <w:rsid w:val="005E353D"/>
    <w:rsid w:val="005E3A61"/>
    <w:rsid w:val="005E3ABB"/>
    <w:rsid w:val="005E3C74"/>
    <w:rsid w:val="005E402C"/>
    <w:rsid w:val="005E4085"/>
    <w:rsid w:val="005E43A8"/>
    <w:rsid w:val="005E470E"/>
    <w:rsid w:val="005E47A3"/>
    <w:rsid w:val="005E491F"/>
    <w:rsid w:val="005E4925"/>
    <w:rsid w:val="005E4D09"/>
    <w:rsid w:val="005E4E8E"/>
    <w:rsid w:val="005E4EC9"/>
    <w:rsid w:val="005E52B8"/>
    <w:rsid w:val="005E5F7C"/>
    <w:rsid w:val="005E6093"/>
    <w:rsid w:val="005E62D3"/>
    <w:rsid w:val="005E68BC"/>
    <w:rsid w:val="005E6B41"/>
    <w:rsid w:val="005E6CE2"/>
    <w:rsid w:val="005E6FDB"/>
    <w:rsid w:val="005E7042"/>
    <w:rsid w:val="005E7073"/>
    <w:rsid w:val="005E7213"/>
    <w:rsid w:val="005E7399"/>
    <w:rsid w:val="005E7589"/>
    <w:rsid w:val="005E77D3"/>
    <w:rsid w:val="005F019F"/>
    <w:rsid w:val="005F06A7"/>
    <w:rsid w:val="005F1259"/>
    <w:rsid w:val="005F15D8"/>
    <w:rsid w:val="005F1D36"/>
    <w:rsid w:val="005F2296"/>
    <w:rsid w:val="005F23A5"/>
    <w:rsid w:val="005F284E"/>
    <w:rsid w:val="005F2D60"/>
    <w:rsid w:val="005F2D7C"/>
    <w:rsid w:val="005F2FB1"/>
    <w:rsid w:val="005F38AD"/>
    <w:rsid w:val="005F4498"/>
    <w:rsid w:val="005F4775"/>
    <w:rsid w:val="005F4AED"/>
    <w:rsid w:val="005F4BAB"/>
    <w:rsid w:val="005F4DBF"/>
    <w:rsid w:val="005F4E55"/>
    <w:rsid w:val="005F5691"/>
    <w:rsid w:val="005F5E9E"/>
    <w:rsid w:val="005F6106"/>
    <w:rsid w:val="005F61DF"/>
    <w:rsid w:val="005F73F9"/>
    <w:rsid w:val="005F745D"/>
    <w:rsid w:val="005F7510"/>
    <w:rsid w:val="005F785D"/>
    <w:rsid w:val="005F79A0"/>
    <w:rsid w:val="005F7A3E"/>
    <w:rsid w:val="005F7E96"/>
    <w:rsid w:val="006001E7"/>
    <w:rsid w:val="0060091E"/>
    <w:rsid w:val="00600F70"/>
    <w:rsid w:val="006019E9"/>
    <w:rsid w:val="00601C07"/>
    <w:rsid w:val="00601F9D"/>
    <w:rsid w:val="006023FC"/>
    <w:rsid w:val="00602456"/>
    <w:rsid w:val="00602CA4"/>
    <w:rsid w:val="00602DF4"/>
    <w:rsid w:val="0060308C"/>
    <w:rsid w:val="006032A7"/>
    <w:rsid w:val="006033F1"/>
    <w:rsid w:val="0060366C"/>
    <w:rsid w:val="00603AA0"/>
    <w:rsid w:val="00603B62"/>
    <w:rsid w:val="00603DAE"/>
    <w:rsid w:val="0060419B"/>
    <w:rsid w:val="00604245"/>
    <w:rsid w:val="006045FE"/>
    <w:rsid w:val="006046E5"/>
    <w:rsid w:val="00604AC9"/>
    <w:rsid w:val="00604BA7"/>
    <w:rsid w:val="00604F57"/>
    <w:rsid w:val="006056A2"/>
    <w:rsid w:val="00605C30"/>
    <w:rsid w:val="00605C46"/>
    <w:rsid w:val="00605CD7"/>
    <w:rsid w:val="0060606D"/>
    <w:rsid w:val="00606425"/>
    <w:rsid w:val="00606466"/>
    <w:rsid w:val="00606599"/>
    <w:rsid w:val="006065C4"/>
    <w:rsid w:val="006065CA"/>
    <w:rsid w:val="00606634"/>
    <w:rsid w:val="0060690E"/>
    <w:rsid w:val="00606999"/>
    <w:rsid w:val="00606B27"/>
    <w:rsid w:val="00606D09"/>
    <w:rsid w:val="00607014"/>
    <w:rsid w:val="0060786D"/>
    <w:rsid w:val="00610113"/>
    <w:rsid w:val="006102CA"/>
    <w:rsid w:val="006104E2"/>
    <w:rsid w:val="0061072A"/>
    <w:rsid w:val="00610E0D"/>
    <w:rsid w:val="00610EA0"/>
    <w:rsid w:val="0061107C"/>
    <w:rsid w:val="00611189"/>
    <w:rsid w:val="00611287"/>
    <w:rsid w:val="006115C6"/>
    <w:rsid w:val="00611714"/>
    <w:rsid w:val="00611715"/>
    <w:rsid w:val="00611855"/>
    <w:rsid w:val="00611B38"/>
    <w:rsid w:val="006122C1"/>
    <w:rsid w:val="006136B7"/>
    <w:rsid w:val="006136FD"/>
    <w:rsid w:val="00613724"/>
    <w:rsid w:val="00613A0E"/>
    <w:rsid w:val="00613AAE"/>
    <w:rsid w:val="00613CF3"/>
    <w:rsid w:val="0061439E"/>
    <w:rsid w:val="006143FB"/>
    <w:rsid w:val="0061446B"/>
    <w:rsid w:val="0061478D"/>
    <w:rsid w:val="00614929"/>
    <w:rsid w:val="00614B16"/>
    <w:rsid w:val="00615302"/>
    <w:rsid w:val="006155C4"/>
    <w:rsid w:val="006166E9"/>
    <w:rsid w:val="00616C9C"/>
    <w:rsid w:val="0061726A"/>
    <w:rsid w:val="00617873"/>
    <w:rsid w:val="006178C6"/>
    <w:rsid w:val="00617F52"/>
    <w:rsid w:val="00620135"/>
    <w:rsid w:val="006209A8"/>
    <w:rsid w:val="00620B25"/>
    <w:rsid w:val="00620BA3"/>
    <w:rsid w:val="00620D74"/>
    <w:rsid w:val="0062130E"/>
    <w:rsid w:val="00621318"/>
    <w:rsid w:val="006214E4"/>
    <w:rsid w:val="00621BC3"/>
    <w:rsid w:val="006224C1"/>
    <w:rsid w:val="00622538"/>
    <w:rsid w:val="00622792"/>
    <w:rsid w:val="006227DA"/>
    <w:rsid w:val="006227E2"/>
    <w:rsid w:val="00622ADD"/>
    <w:rsid w:val="00622C55"/>
    <w:rsid w:val="00623C17"/>
    <w:rsid w:val="00623DF9"/>
    <w:rsid w:val="00624075"/>
    <w:rsid w:val="00624305"/>
    <w:rsid w:val="006243FB"/>
    <w:rsid w:val="00624561"/>
    <w:rsid w:val="006245CF"/>
    <w:rsid w:val="0062484F"/>
    <w:rsid w:val="00624960"/>
    <w:rsid w:val="00624CCC"/>
    <w:rsid w:val="00624E24"/>
    <w:rsid w:val="00624E2C"/>
    <w:rsid w:val="00624F02"/>
    <w:rsid w:val="00625084"/>
    <w:rsid w:val="00625A03"/>
    <w:rsid w:val="00625B2F"/>
    <w:rsid w:val="00626187"/>
    <w:rsid w:val="00626984"/>
    <w:rsid w:val="00626C24"/>
    <w:rsid w:val="006271D9"/>
    <w:rsid w:val="00627569"/>
    <w:rsid w:val="00627D07"/>
    <w:rsid w:val="00627F32"/>
    <w:rsid w:val="00630199"/>
    <w:rsid w:val="006303EF"/>
    <w:rsid w:val="0063084D"/>
    <w:rsid w:val="006308F0"/>
    <w:rsid w:val="0063091A"/>
    <w:rsid w:val="00630BB7"/>
    <w:rsid w:val="00631186"/>
    <w:rsid w:val="00631339"/>
    <w:rsid w:val="006313F5"/>
    <w:rsid w:val="0063193D"/>
    <w:rsid w:val="00631CD7"/>
    <w:rsid w:val="00632061"/>
    <w:rsid w:val="00632559"/>
    <w:rsid w:val="00632592"/>
    <w:rsid w:val="00632655"/>
    <w:rsid w:val="00632745"/>
    <w:rsid w:val="00632AF4"/>
    <w:rsid w:val="00632B84"/>
    <w:rsid w:val="006333A3"/>
    <w:rsid w:val="00633683"/>
    <w:rsid w:val="006337ED"/>
    <w:rsid w:val="006346B7"/>
    <w:rsid w:val="006347B9"/>
    <w:rsid w:val="00634865"/>
    <w:rsid w:val="00634F79"/>
    <w:rsid w:val="00635631"/>
    <w:rsid w:val="00635980"/>
    <w:rsid w:val="00635E0B"/>
    <w:rsid w:val="00635EC5"/>
    <w:rsid w:val="00636477"/>
    <w:rsid w:val="00636B38"/>
    <w:rsid w:val="006373C5"/>
    <w:rsid w:val="00637486"/>
    <w:rsid w:val="006376ED"/>
    <w:rsid w:val="0063777F"/>
    <w:rsid w:val="00637AC7"/>
    <w:rsid w:val="00637D6C"/>
    <w:rsid w:val="00637E82"/>
    <w:rsid w:val="006406C4"/>
    <w:rsid w:val="00640734"/>
    <w:rsid w:val="006408FB"/>
    <w:rsid w:val="00640936"/>
    <w:rsid w:val="00640A23"/>
    <w:rsid w:val="00640C20"/>
    <w:rsid w:val="00640E60"/>
    <w:rsid w:val="00641133"/>
    <w:rsid w:val="006418AF"/>
    <w:rsid w:val="00641B34"/>
    <w:rsid w:val="00641D61"/>
    <w:rsid w:val="00642430"/>
    <w:rsid w:val="006425E4"/>
    <w:rsid w:val="0064260A"/>
    <w:rsid w:val="00643543"/>
    <w:rsid w:val="00644288"/>
    <w:rsid w:val="006445A8"/>
    <w:rsid w:val="006448F8"/>
    <w:rsid w:val="006453C5"/>
    <w:rsid w:val="006458EC"/>
    <w:rsid w:val="00645F23"/>
    <w:rsid w:val="006464BE"/>
    <w:rsid w:val="00646B3D"/>
    <w:rsid w:val="00646C1B"/>
    <w:rsid w:val="00646EDC"/>
    <w:rsid w:val="00647477"/>
    <w:rsid w:val="006475CE"/>
    <w:rsid w:val="00647AA1"/>
    <w:rsid w:val="00647C1C"/>
    <w:rsid w:val="00647DB5"/>
    <w:rsid w:val="00647EB3"/>
    <w:rsid w:val="00650B4A"/>
    <w:rsid w:val="00650DA1"/>
    <w:rsid w:val="00650F62"/>
    <w:rsid w:val="00651138"/>
    <w:rsid w:val="006511A3"/>
    <w:rsid w:val="006516B3"/>
    <w:rsid w:val="00651807"/>
    <w:rsid w:val="00651851"/>
    <w:rsid w:val="00651A62"/>
    <w:rsid w:val="00651E68"/>
    <w:rsid w:val="00652018"/>
    <w:rsid w:val="006520A7"/>
    <w:rsid w:val="006527A8"/>
    <w:rsid w:val="00653100"/>
    <w:rsid w:val="006535F3"/>
    <w:rsid w:val="00653FA4"/>
    <w:rsid w:val="00654B06"/>
    <w:rsid w:val="006550B5"/>
    <w:rsid w:val="006559C3"/>
    <w:rsid w:val="00655A00"/>
    <w:rsid w:val="00655A3B"/>
    <w:rsid w:val="006561D7"/>
    <w:rsid w:val="0065633E"/>
    <w:rsid w:val="0065652F"/>
    <w:rsid w:val="006566F6"/>
    <w:rsid w:val="00656A22"/>
    <w:rsid w:val="00656C30"/>
    <w:rsid w:val="00657213"/>
    <w:rsid w:val="00657611"/>
    <w:rsid w:val="00657C0B"/>
    <w:rsid w:val="00657D09"/>
    <w:rsid w:val="00660C03"/>
    <w:rsid w:val="00660FB3"/>
    <w:rsid w:val="006610A6"/>
    <w:rsid w:val="006613BB"/>
    <w:rsid w:val="006613E6"/>
    <w:rsid w:val="006616A5"/>
    <w:rsid w:val="00661C98"/>
    <w:rsid w:val="00661E38"/>
    <w:rsid w:val="00661E6C"/>
    <w:rsid w:val="0066237F"/>
    <w:rsid w:val="00662E47"/>
    <w:rsid w:val="006632F9"/>
    <w:rsid w:val="006638CB"/>
    <w:rsid w:val="006638EF"/>
    <w:rsid w:val="00663B82"/>
    <w:rsid w:val="00663BF7"/>
    <w:rsid w:val="00663EDB"/>
    <w:rsid w:val="00664219"/>
    <w:rsid w:val="00664482"/>
    <w:rsid w:val="0066496E"/>
    <w:rsid w:val="00664DA9"/>
    <w:rsid w:val="006656FD"/>
    <w:rsid w:val="0066598D"/>
    <w:rsid w:val="006659BE"/>
    <w:rsid w:val="00665B1A"/>
    <w:rsid w:val="00665E7A"/>
    <w:rsid w:val="00665F2F"/>
    <w:rsid w:val="00666263"/>
    <w:rsid w:val="00666562"/>
    <w:rsid w:val="0066689E"/>
    <w:rsid w:val="00666945"/>
    <w:rsid w:val="00666C63"/>
    <w:rsid w:val="00666E11"/>
    <w:rsid w:val="00667387"/>
    <w:rsid w:val="00670201"/>
    <w:rsid w:val="00670A6D"/>
    <w:rsid w:val="00671A58"/>
    <w:rsid w:val="00671CBE"/>
    <w:rsid w:val="00671D78"/>
    <w:rsid w:val="00671EF5"/>
    <w:rsid w:val="00672DC7"/>
    <w:rsid w:val="00672DD5"/>
    <w:rsid w:val="00673042"/>
    <w:rsid w:val="00673566"/>
    <w:rsid w:val="00673610"/>
    <w:rsid w:val="00674298"/>
    <w:rsid w:val="00674346"/>
    <w:rsid w:val="00674AA5"/>
    <w:rsid w:val="00675797"/>
    <w:rsid w:val="00675919"/>
    <w:rsid w:val="00675A26"/>
    <w:rsid w:val="00675F26"/>
    <w:rsid w:val="00676100"/>
    <w:rsid w:val="006764B3"/>
    <w:rsid w:val="006767AE"/>
    <w:rsid w:val="00676C85"/>
    <w:rsid w:val="00677605"/>
    <w:rsid w:val="00677649"/>
    <w:rsid w:val="00677856"/>
    <w:rsid w:val="00677905"/>
    <w:rsid w:val="00677D51"/>
    <w:rsid w:val="0068029C"/>
    <w:rsid w:val="0068062F"/>
    <w:rsid w:val="00680BDC"/>
    <w:rsid w:val="00680F24"/>
    <w:rsid w:val="0068135E"/>
    <w:rsid w:val="00681447"/>
    <w:rsid w:val="0068146E"/>
    <w:rsid w:val="00681683"/>
    <w:rsid w:val="00681700"/>
    <w:rsid w:val="00682E00"/>
    <w:rsid w:val="00683FDC"/>
    <w:rsid w:val="0068420A"/>
    <w:rsid w:val="006847AF"/>
    <w:rsid w:val="00684A24"/>
    <w:rsid w:val="006858E7"/>
    <w:rsid w:val="00685AF2"/>
    <w:rsid w:val="00685B20"/>
    <w:rsid w:val="00687182"/>
    <w:rsid w:val="00687AFB"/>
    <w:rsid w:val="00687B79"/>
    <w:rsid w:val="00687E61"/>
    <w:rsid w:val="00687E73"/>
    <w:rsid w:val="00687FDD"/>
    <w:rsid w:val="00690064"/>
    <w:rsid w:val="006905C6"/>
    <w:rsid w:val="006907C5"/>
    <w:rsid w:val="00690A19"/>
    <w:rsid w:val="00690E16"/>
    <w:rsid w:val="0069109A"/>
    <w:rsid w:val="00691446"/>
    <w:rsid w:val="006917CD"/>
    <w:rsid w:val="00691B34"/>
    <w:rsid w:val="00691D95"/>
    <w:rsid w:val="00691DFE"/>
    <w:rsid w:val="006924C1"/>
    <w:rsid w:val="00692780"/>
    <w:rsid w:val="00692A00"/>
    <w:rsid w:val="006934ED"/>
    <w:rsid w:val="00693548"/>
    <w:rsid w:val="00693595"/>
    <w:rsid w:val="00693928"/>
    <w:rsid w:val="006939D7"/>
    <w:rsid w:val="006941FC"/>
    <w:rsid w:val="006946C3"/>
    <w:rsid w:val="006947A9"/>
    <w:rsid w:val="006949D2"/>
    <w:rsid w:val="00694C06"/>
    <w:rsid w:val="00694C5F"/>
    <w:rsid w:val="00694F80"/>
    <w:rsid w:val="00695140"/>
    <w:rsid w:val="006955B2"/>
    <w:rsid w:val="00695BFF"/>
    <w:rsid w:val="006964D5"/>
    <w:rsid w:val="00696587"/>
    <w:rsid w:val="00696917"/>
    <w:rsid w:val="00696CB9"/>
    <w:rsid w:val="006971D7"/>
    <w:rsid w:val="0069746E"/>
    <w:rsid w:val="00697544"/>
    <w:rsid w:val="00697946"/>
    <w:rsid w:val="00697B76"/>
    <w:rsid w:val="00697C4E"/>
    <w:rsid w:val="00697F30"/>
    <w:rsid w:val="006A004A"/>
    <w:rsid w:val="006A028F"/>
    <w:rsid w:val="006A04B6"/>
    <w:rsid w:val="006A0AF2"/>
    <w:rsid w:val="006A0DE8"/>
    <w:rsid w:val="006A1331"/>
    <w:rsid w:val="006A14AE"/>
    <w:rsid w:val="006A185D"/>
    <w:rsid w:val="006A2333"/>
    <w:rsid w:val="006A23D3"/>
    <w:rsid w:val="006A38F5"/>
    <w:rsid w:val="006A3903"/>
    <w:rsid w:val="006A3F08"/>
    <w:rsid w:val="006A4A9C"/>
    <w:rsid w:val="006A4D43"/>
    <w:rsid w:val="006A5441"/>
    <w:rsid w:val="006A5A30"/>
    <w:rsid w:val="006A6325"/>
    <w:rsid w:val="006A6E1D"/>
    <w:rsid w:val="006A71A2"/>
    <w:rsid w:val="006A72F2"/>
    <w:rsid w:val="006A742B"/>
    <w:rsid w:val="006A757A"/>
    <w:rsid w:val="006A77B9"/>
    <w:rsid w:val="006A7A0B"/>
    <w:rsid w:val="006B0328"/>
    <w:rsid w:val="006B15F7"/>
    <w:rsid w:val="006B169E"/>
    <w:rsid w:val="006B177F"/>
    <w:rsid w:val="006B1A42"/>
    <w:rsid w:val="006B1A89"/>
    <w:rsid w:val="006B2546"/>
    <w:rsid w:val="006B2842"/>
    <w:rsid w:val="006B2E90"/>
    <w:rsid w:val="006B2E9F"/>
    <w:rsid w:val="006B32AB"/>
    <w:rsid w:val="006B33B4"/>
    <w:rsid w:val="006B353C"/>
    <w:rsid w:val="006B36CF"/>
    <w:rsid w:val="006B388A"/>
    <w:rsid w:val="006B4200"/>
    <w:rsid w:val="006B4253"/>
    <w:rsid w:val="006B43EC"/>
    <w:rsid w:val="006B5691"/>
    <w:rsid w:val="006B58E6"/>
    <w:rsid w:val="006B6272"/>
    <w:rsid w:val="006B652D"/>
    <w:rsid w:val="006B65A7"/>
    <w:rsid w:val="006B67CF"/>
    <w:rsid w:val="006B682E"/>
    <w:rsid w:val="006B68E0"/>
    <w:rsid w:val="006B6C95"/>
    <w:rsid w:val="006B6F8B"/>
    <w:rsid w:val="006B72FB"/>
    <w:rsid w:val="006B7F66"/>
    <w:rsid w:val="006C0D2E"/>
    <w:rsid w:val="006C1910"/>
    <w:rsid w:val="006C1AC7"/>
    <w:rsid w:val="006C209F"/>
    <w:rsid w:val="006C2544"/>
    <w:rsid w:val="006C2606"/>
    <w:rsid w:val="006C320A"/>
    <w:rsid w:val="006C32DC"/>
    <w:rsid w:val="006C3577"/>
    <w:rsid w:val="006C3638"/>
    <w:rsid w:val="006C37F9"/>
    <w:rsid w:val="006C3998"/>
    <w:rsid w:val="006C3B70"/>
    <w:rsid w:val="006C3D69"/>
    <w:rsid w:val="006C3E6E"/>
    <w:rsid w:val="006C3EC7"/>
    <w:rsid w:val="006C41F8"/>
    <w:rsid w:val="006C4252"/>
    <w:rsid w:val="006C49B0"/>
    <w:rsid w:val="006C4A97"/>
    <w:rsid w:val="006C4BC8"/>
    <w:rsid w:val="006C4E53"/>
    <w:rsid w:val="006C512F"/>
    <w:rsid w:val="006C545B"/>
    <w:rsid w:val="006C5531"/>
    <w:rsid w:val="006C56DA"/>
    <w:rsid w:val="006C5846"/>
    <w:rsid w:val="006C58F9"/>
    <w:rsid w:val="006C60BC"/>
    <w:rsid w:val="006C60D0"/>
    <w:rsid w:val="006C6243"/>
    <w:rsid w:val="006C6511"/>
    <w:rsid w:val="006C655B"/>
    <w:rsid w:val="006C6775"/>
    <w:rsid w:val="006C6F8F"/>
    <w:rsid w:val="006C76FB"/>
    <w:rsid w:val="006C79C1"/>
    <w:rsid w:val="006C7B8A"/>
    <w:rsid w:val="006C7BD1"/>
    <w:rsid w:val="006D001F"/>
    <w:rsid w:val="006D087D"/>
    <w:rsid w:val="006D0B97"/>
    <w:rsid w:val="006D12D0"/>
    <w:rsid w:val="006D1668"/>
    <w:rsid w:val="006D1884"/>
    <w:rsid w:val="006D1972"/>
    <w:rsid w:val="006D19FD"/>
    <w:rsid w:val="006D1A13"/>
    <w:rsid w:val="006D1F1E"/>
    <w:rsid w:val="006D2285"/>
    <w:rsid w:val="006D329F"/>
    <w:rsid w:val="006D32F6"/>
    <w:rsid w:val="006D34CC"/>
    <w:rsid w:val="006D4362"/>
    <w:rsid w:val="006D49AC"/>
    <w:rsid w:val="006D4A96"/>
    <w:rsid w:val="006D4AA0"/>
    <w:rsid w:val="006D4B3F"/>
    <w:rsid w:val="006D4C62"/>
    <w:rsid w:val="006D547A"/>
    <w:rsid w:val="006D554A"/>
    <w:rsid w:val="006D56A5"/>
    <w:rsid w:val="006D5A84"/>
    <w:rsid w:val="006D5B3B"/>
    <w:rsid w:val="006D5C23"/>
    <w:rsid w:val="006D60C2"/>
    <w:rsid w:val="006D629F"/>
    <w:rsid w:val="006D67AC"/>
    <w:rsid w:val="006D67E2"/>
    <w:rsid w:val="006D698F"/>
    <w:rsid w:val="006D6D66"/>
    <w:rsid w:val="006D705D"/>
    <w:rsid w:val="006D712C"/>
    <w:rsid w:val="006D72D6"/>
    <w:rsid w:val="006D7AA0"/>
    <w:rsid w:val="006D7ADA"/>
    <w:rsid w:val="006D7B17"/>
    <w:rsid w:val="006E016F"/>
    <w:rsid w:val="006E077F"/>
    <w:rsid w:val="006E0BC7"/>
    <w:rsid w:val="006E0D0F"/>
    <w:rsid w:val="006E1047"/>
    <w:rsid w:val="006E1373"/>
    <w:rsid w:val="006E16AE"/>
    <w:rsid w:val="006E1820"/>
    <w:rsid w:val="006E1C3E"/>
    <w:rsid w:val="006E237B"/>
    <w:rsid w:val="006E29A5"/>
    <w:rsid w:val="006E29C5"/>
    <w:rsid w:val="006E3763"/>
    <w:rsid w:val="006E37A9"/>
    <w:rsid w:val="006E3809"/>
    <w:rsid w:val="006E38D8"/>
    <w:rsid w:val="006E3916"/>
    <w:rsid w:val="006E3A5D"/>
    <w:rsid w:val="006E3FBB"/>
    <w:rsid w:val="006E4250"/>
    <w:rsid w:val="006E43AD"/>
    <w:rsid w:val="006E45C9"/>
    <w:rsid w:val="006E4C13"/>
    <w:rsid w:val="006E4C77"/>
    <w:rsid w:val="006E4D35"/>
    <w:rsid w:val="006E638A"/>
    <w:rsid w:val="006E6450"/>
    <w:rsid w:val="006E66B8"/>
    <w:rsid w:val="006E67C8"/>
    <w:rsid w:val="006E69CC"/>
    <w:rsid w:val="006E6A83"/>
    <w:rsid w:val="006E6BD0"/>
    <w:rsid w:val="006E6C7A"/>
    <w:rsid w:val="006E6E90"/>
    <w:rsid w:val="006E7C12"/>
    <w:rsid w:val="006F07C5"/>
    <w:rsid w:val="006F0849"/>
    <w:rsid w:val="006F0A20"/>
    <w:rsid w:val="006F0A2B"/>
    <w:rsid w:val="006F0BE7"/>
    <w:rsid w:val="006F0E5F"/>
    <w:rsid w:val="006F1312"/>
    <w:rsid w:val="006F1D3B"/>
    <w:rsid w:val="006F1D7D"/>
    <w:rsid w:val="006F1DDA"/>
    <w:rsid w:val="006F1EFB"/>
    <w:rsid w:val="006F244A"/>
    <w:rsid w:val="006F265F"/>
    <w:rsid w:val="006F286F"/>
    <w:rsid w:val="006F2D2E"/>
    <w:rsid w:val="006F32B3"/>
    <w:rsid w:val="006F3389"/>
    <w:rsid w:val="006F41C3"/>
    <w:rsid w:val="006F44B3"/>
    <w:rsid w:val="006F460E"/>
    <w:rsid w:val="006F4DBC"/>
    <w:rsid w:val="006F5135"/>
    <w:rsid w:val="006F54CC"/>
    <w:rsid w:val="006F5528"/>
    <w:rsid w:val="006F552B"/>
    <w:rsid w:val="006F56C3"/>
    <w:rsid w:val="006F5782"/>
    <w:rsid w:val="006F5850"/>
    <w:rsid w:val="006F5969"/>
    <w:rsid w:val="006F601A"/>
    <w:rsid w:val="006F6039"/>
    <w:rsid w:val="006F6255"/>
    <w:rsid w:val="006F6659"/>
    <w:rsid w:val="006F6E18"/>
    <w:rsid w:val="006F70B7"/>
    <w:rsid w:val="006F70F5"/>
    <w:rsid w:val="006F71DA"/>
    <w:rsid w:val="006F7553"/>
    <w:rsid w:val="006F79AB"/>
    <w:rsid w:val="006F7E8D"/>
    <w:rsid w:val="006F7EFA"/>
    <w:rsid w:val="007005DF"/>
    <w:rsid w:val="0070078C"/>
    <w:rsid w:val="0070081B"/>
    <w:rsid w:val="007009F8"/>
    <w:rsid w:val="00700C8C"/>
    <w:rsid w:val="0070113A"/>
    <w:rsid w:val="0070184A"/>
    <w:rsid w:val="00701A88"/>
    <w:rsid w:val="00701ACD"/>
    <w:rsid w:val="00701B21"/>
    <w:rsid w:val="00701CE7"/>
    <w:rsid w:val="00701D40"/>
    <w:rsid w:val="007024F0"/>
    <w:rsid w:val="007026C0"/>
    <w:rsid w:val="007026D6"/>
    <w:rsid w:val="00702909"/>
    <w:rsid w:val="00702CAC"/>
    <w:rsid w:val="007032DC"/>
    <w:rsid w:val="007032E8"/>
    <w:rsid w:val="007034AA"/>
    <w:rsid w:val="00703E35"/>
    <w:rsid w:val="00704168"/>
    <w:rsid w:val="00704686"/>
    <w:rsid w:val="00704C82"/>
    <w:rsid w:val="00704E4F"/>
    <w:rsid w:val="00704FEF"/>
    <w:rsid w:val="00705934"/>
    <w:rsid w:val="00705989"/>
    <w:rsid w:val="00705BDB"/>
    <w:rsid w:val="00705C33"/>
    <w:rsid w:val="00705FBF"/>
    <w:rsid w:val="007060FE"/>
    <w:rsid w:val="007067B3"/>
    <w:rsid w:val="0070681C"/>
    <w:rsid w:val="007069DC"/>
    <w:rsid w:val="00706F15"/>
    <w:rsid w:val="007077B6"/>
    <w:rsid w:val="00707885"/>
    <w:rsid w:val="00707EF0"/>
    <w:rsid w:val="00710043"/>
    <w:rsid w:val="00710138"/>
    <w:rsid w:val="007105EE"/>
    <w:rsid w:val="00710798"/>
    <w:rsid w:val="007109B3"/>
    <w:rsid w:val="00710A63"/>
    <w:rsid w:val="00710C6F"/>
    <w:rsid w:val="00710E30"/>
    <w:rsid w:val="0071128B"/>
    <w:rsid w:val="00711472"/>
    <w:rsid w:val="0071175D"/>
    <w:rsid w:val="00711895"/>
    <w:rsid w:val="007119C8"/>
    <w:rsid w:val="00711ECE"/>
    <w:rsid w:val="00711FDE"/>
    <w:rsid w:val="007130A0"/>
    <w:rsid w:val="00713159"/>
    <w:rsid w:val="007133FE"/>
    <w:rsid w:val="00713598"/>
    <w:rsid w:val="0071382D"/>
    <w:rsid w:val="00713884"/>
    <w:rsid w:val="00713A65"/>
    <w:rsid w:val="00714100"/>
    <w:rsid w:val="00714199"/>
    <w:rsid w:val="007142F6"/>
    <w:rsid w:val="007149A9"/>
    <w:rsid w:val="00714BA7"/>
    <w:rsid w:val="00714DD2"/>
    <w:rsid w:val="00714EAE"/>
    <w:rsid w:val="00715AAF"/>
    <w:rsid w:val="00715B0A"/>
    <w:rsid w:val="00715F66"/>
    <w:rsid w:val="0071610F"/>
    <w:rsid w:val="0071667E"/>
    <w:rsid w:val="007166D2"/>
    <w:rsid w:val="00716880"/>
    <w:rsid w:val="00716A9D"/>
    <w:rsid w:val="00716AF5"/>
    <w:rsid w:val="00716D7F"/>
    <w:rsid w:val="007170CB"/>
    <w:rsid w:val="007174AD"/>
    <w:rsid w:val="007176DA"/>
    <w:rsid w:val="00717C40"/>
    <w:rsid w:val="007200B1"/>
    <w:rsid w:val="00720B8D"/>
    <w:rsid w:val="00720B93"/>
    <w:rsid w:val="00720E47"/>
    <w:rsid w:val="00721197"/>
    <w:rsid w:val="00721205"/>
    <w:rsid w:val="00721638"/>
    <w:rsid w:val="00721651"/>
    <w:rsid w:val="00721691"/>
    <w:rsid w:val="00721B73"/>
    <w:rsid w:val="00722486"/>
    <w:rsid w:val="00722829"/>
    <w:rsid w:val="00722C14"/>
    <w:rsid w:val="00723218"/>
    <w:rsid w:val="00723705"/>
    <w:rsid w:val="0072384A"/>
    <w:rsid w:val="007238C7"/>
    <w:rsid w:val="00723D55"/>
    <w:rsid w:val="00724227"/>
    <w:rsid w:val="00724AC4"/>
    <w:rsid w:val="00724C04"/>
    <w:rsid w:val="00724C3A"/>
    <w:rsid w:val="00724F94"/>
    <w:rsid w:val="0072534C"/>
    <w:rsid w:val="0072540F"/>
    <w:rsid w:val="00725625"/>
    <w:rsid w:val="00725702"/>
    <w:rsid w:val="00725A9C"/>
    <w:rsid w:val="00726775"/>
    <w:rsid w:val="00726A4E"/>
    <w:rsid w:val="00727874"/>
    <w:rsid w:val="00727C3E"/>
    <w:rsid w:val="00727C66"/>
    <w:rsid w:val="00727CF5"/>
    <w:rsid w:val="0073032D"/>
    <w:rsid w:val="00730794"/>
    <w:rsid w:val="00730BFB"/>
    <w:rsid w:val="007314F8"/>
    <w:rsid w:val="00731535"/>
    <w:rsid w:val="00731622"/>
    <w:rsid w:val="00731678"/>
    <w:rsid w:val="0073190D"/>
    <w:rsid w:val="00731E16"/>
    <w:rsid w:val="00732242"/>
    <w:rsid w:val="00732754"/>
    <w:rsid w:val="007329C6"/>
    <w:rsid w:val="00732E93"/>
    <w:rsid w:val="0073345B"/>
    <w:rsid w:val="00733BB0"/>
    <w:rsid w:val="00733BB7"/>
    <w:rsid w:val="007342C2"/>
    <w:rsid w:val="00734F3A"/>
    <w:rsid w:val="00735506"/>
    <w:rsid w:val="00736434"/>
    <w:rsid w:val="00736754"/>
    <w:rsid w:val="00736B15"/>
    <w:rsid w:val="00736D52"/>
    <w:rsid w:val="0073732B"/>
    <w:rsid w:val="00737584"/>
    <w:rsid w:val="007377F9"/>
    <w:rsid w:val="00737AC2"/>
    <w:rsid w:val="00740627"/>
    <w:rsid w:val="00740D0B"/>
    <w:rsid w:val="00741174"/>
    <w:rsid w:val="00741185"/>
    <w:rsid w:val="007411BA"/>
    <w:rsid w:val="00741476"/>
    <w:rsid w:val="00741869"/>
    <w:rsid w:val="00741A0D"/>
    <w:rsid w:val="0074205F"/>
    <w:rsid w:val="007420AA"/>
    <w:rsid w:val="0074248F"/>
    <w:rsid w:val="007428D4"/>
    <w:rsid w:val="00742B89"/>
    <w:rsid w:val="00742C0B"/>
    <w:rsid w:val="00743050"/>
    <w:rsid w:val="0074383C"/>
    <w:rsid w:val="0074418E"/>
    <w:rsid w:val="007441AA"/>
    <w:rsid w:val="00744662"/>
    <w:rsid w:val="00744948"/>
    <w:rsid w:val="007449C2"/>
    <w:rsid w:val="00745109"/>
    <w:rsid w:val="0074586F"/>
    <w:rsid w:val="00745870"/>
    <w:rsid w:val="00745A36"/>
    <w:rsid w:val="00745EE3"/>
    <w:rsid w:val="007464DE"/>
    <w:rsid w:val="007465DD"/>
    <w:rsid w:val="00746DD4"/>
    <w:rsid w:val="0074784F"/>
    <w:rsid w:val="007479EF"/>
    <w:rsid w:val="00747DBC"/>
    <w:rsid w:val="00750167"/>
    <w:rsid w:val="00750388"/>
    <w:rsid w:val="00750441"/>
    <w:rsid w:val="00750647"/>
    <w:rsid w:val="0075076B"/>
    <w:rsid w:val="00750934"/>
    <w:rsid w:val="0075095C"/>
    <w:rsid w:val="00750B87"/>
    <w:rsid w:val="00750BBA"/>
    <w:rsid w:val="00750D7F"/>
    <w:rsid w:val="00750E3B"/>
    <w:rsid w:val="00751A4A"/>
    <w:rsid w:val="00751A76"/>
    <w:rsid w:val="00751CB1"/>
    <w:rsid w:val="00751E0A"/>
    <w:rsid w:val="00752201"/>
    <w:rsid w:val="00752B7D"/>
    <w:rsid w:val="00752BD0"/>
    <w:rsid w:val="00753014"/>
    <w:rsid w:val="00753160"/>
    <w:rsid w:val="00753325"/>
    <w:rsid w:val="00753575"/>
    <w:rsid w:val="007538D7"/>
    <w:rsid w:val="0075401E"/>
    <w:rsid w:val="00754057"/>
    <w:rsid w:val="0075426C"/>
    <w:rsid w:val="00754389"/>
    <w:rsid w:val="00754659"/>
    <w:rsid w:val="007549D5"/>
    <w:rsid w:val="00754C00"/>
    <w:rsid w:val="007558B2"/>
    <w:rsid w:val="00755922"/>
    <w:rsid w:val="00755C4F"/>
    <w:rsid w:val="00755D63"/>
    <w:rsid w:val="00755E8C"/>
    <w:rsid w:val="00755F24"/>
    <w:rsid w:val="0075620D"/>
    <w:rsid w:val="007562A4"/>
    <w:rsid w:val="0075653A"/>
    <w:rsid w:val="0075669C"/>
    <w:rsid w:val="00756949"/>
    <w:rsid w:val="00756EA1"/>
    <w:rsid w:val="00756FA2"/>
    <w:rsid w:val="007570EA"/>
    <w:rsid w:val="00757491"/>
    <w:rsid w:val="007577E3"/>
    <w:rsid w:val="00757AFA"/>
    <w:rsid w:val="00757CF9"/>
    <w:rsid w:val="007601B1"/>
    <w:rsid w:val="00760556"/>
    <w:rsid w:val="00760A57"/>
    <w:rsid w:val="00760A76"/>
    <w:rsid w:val="00760AEE"/>
    <w:rsid w:val="00760B57"/>
    <w:rsid w:val="00761508"/>
    <w:rsid w:val="0076168A"/>
    <w:rsid w:val="00761785"/>
    <w:rsid w:val="007618BB"/>
    <w:rsid w:val="0076191A"/>
    <w:rsid w:val="00761DE9"/>
    <w:rsid w:val="00762122"/>
    <w:rsid w:val="0076244C"/>
    <w:rsid w:val="00762627"/>
    <w:rsid w:val="00762695"/>
    <w:rsid w:val="00762831"/>
    <w:rsid w:val="0076293E"/>
    <w:rsid w:val="00762F01"/>
    <w:rsid w:val="00763581"/>
    <w:rsid w:val="00763A58"/>
    <w:rsid w:val="00763BBB"/>
    <w:rsid w:val="00763F19"/>
    <w:rsid w:val="0076436E"/>
    <w:rsid w:val="0076447C"/>
    <w:rsid w:val="0076463A"/>
    <w:rsid w:val="00764FC1"/>
    <w:rsid w:val="007651E9"/>
    <w:rsid w:val="0076596A"/>
    <w:rsid w:val="00766456"/>
    <w:rsid w:val="00766537"/>
    <w:rsid w:val="007665A0"/>
    <w:rsid w:val="0076690D"/>
    <w:rsid w:val="0076732F"/>
    <w:rsid w:val="007676A3"/>
    <w:rsid w:val="00767824"/>
    <w:rsid w:val="0076790C"/>
    <w:rsid w:val="007679CC"/>
    <w:rsid w:val="00767B6E"/>
    <w:rsid w:val="00770433"/>
    <w:rsid w:val="00770920"/>
    <w:rsid w:val="00770D2B"/>
    <w:rsid w:val="007716FE"/>
    <w:rsid w:val="00771986"/>
    <w:rsid w:val="00771CC1"/>
    <w:rsid w:val="00771D68"/>
    <w:rsid w:val="007720E2"/>
    <w:rsid w:val="007726E3"/>
    <w:rsid w:val="007729AC"/>
    <w:rsid w:val="00772C7E"/>
    <w:rsid w:val="007730AD"/>
    <w:rsid w:val="00773707"/>
    <w:rsid w:val="00773DB2"/>
    <w:rsid w:val="00773E7E"/>
    <w:rsid w:val="007741C6"/>
    <w:rsid w:val="00774760"/>
    <w:rsid w:val="00774FD6"/>
    <w:rsid w:val="007750A8"/>
    <w:rsid w:val="00775C3C"/>
    <w:rsid w:val="00775C6A"/>
    <w:rsid w:val="007763C5"/>
    <w:rsid w:val="0077668C"/>
    <w:rsid w:val="00776B70"/>
    <w:rsid w:val="00776C6B"/>
    <w:rsid w:val="00776F5E"/>
    <w:rsid w:val="007778BB"/>
    <w:rsid w:val="00777E02"/>
    <w:rsid w:val="00777E22"/>
    <w:rsid w:val="00777FC8"/>
    <w:rsid w:val="007800C3"/>
    <w:rsid w:val="0078088D"/>
    <w:rsid w:val="00780C10"/>
    <w:rsid w:val="00780DDA"/>
    <w:rsid w:val="007811EE"/>
    <w:rsid w:val="007813FD"/>
    <w:rsid w:val="00781422"/>
    <w:rsid w:val="0078180D"/>
    <w:rsid w:val="007819DF"/>
    <w:rsid w:val="00781EEF"/>
    <w:rsid w:val="00781FA5"/>
    <w:rsid w:val="00782936"/>
    <w:rsid w:val="00782BA1"/>
    <w:rsid w:val="00782BFA"/>
    <w:rsid w:val="00782C2E"/>
    <w:rsid w:val="00782CB2"/>
    <w:rsid w:val="00782E60"/>
    <w:rsid w:val="00782ED9"/>
    <w:rsid w:val="00783061"/>
    <w:rsid w:val="00783131"/>
    <w:rsid w:val="00783607"/>
    <w:rsid w:val="00783B67"/>
    <w:rsid w:val="00783CA6"/>
    <w:rsid w:val="00783DD7"/>
    <w:rsid w:val="007840C8"/>
    <w:rsid w:val="0078428E"/>
    <w:rsid w:val="007844B0"/>
    <w:rsid w:val="00784788"/>
    <w:rsid w:val="00784F7E"/>
    <w:rsid w:val="00785371"/>
    <w:rsid w:val="00785485"/>
    <w:rsid w:val="00785826"/>
    <w:rsid w:val="00785922"/>
    <w:rsid w:val="007859CD"/>
    <w:rsid w:val="007859D8"/>
    <w:rsid w:val="00785CBD"/>
    <w:rsid w:val="00785F2E"/>
    <w:rsid w:val="0078616D"/>
    <w:rsid w:val="007863B5"/>
    <w:rsid w:val="00786446"/>
    <w:rsid w:val="007867FA"/>
    <w:rsid w:val="007869F1"/>
    <w:rsid w:val="00786E47"/>
    <w:rsid w:val="00786F76"/>
    <w:rsid w:val="0078711C"/>
    <w:rsid w:val="007873EC"/>
    <w:rsid w:val="00787F0D"/>
    <w:rsid w:val="007902A4"/>
    <w:rsid w:val="00790371"/>
    <w:rsid w:val="00790907"/>
    <w:rsid w:val="00790C62"/>
    <w:rsid w:val="00790DCB"/>
    <w:rsid w:val="00790E98"/>
    <w:rsid w:val="007916AA"/>
    <w:rsid w:val="00791DFD"/>
    <w:rsid w:val="00791E78"/>
    <w:rsid w:val="00791F10"/>
    <w:rsid w:val="00791FB1"/>
    <w:rsid w:val="00792103"/>
    <w:rsid w:val="0079227F"/>
    <w:rsid w:val="0079278F"/>
    <w:rsid w:val="00792B66"/>
    <w:rsid w:val="00792F6A"/>
    <w:rsid w:val="007932FA"/>
    <w:rsid w:val="00793532"/>
    <w:rsid w:val="0079367A"/>
    <w:rsid w:val="007936EB"/>
    <w:rsid w:val="0079375D"/>
    <w:rsid w:val="00793B3F"/>
    <w:rsid w:val="00794187"/>
    <w:rsid w:val="00794E05"/>
    <w:rsid w:val="00794E0C"/>
    <w:rsid w:val="0079513D"/>
    <w:rsid w:val="00795274"/>
    <w:rsid w:val="0079537D"/>
    <w:rsid w:val="007953AD"/>
    <w:rsid w:val="00795B9A"/>
    <w:rsid w:val="00795FFE"/>
    <w:rsid w:val="00796998"/>
    <w:rsid w:val="00796BD4"/>
    <w:rsid w:val="00796C04"/>
    <w:rsid w:val="00797192"/>
    <w:rsid w:val="0079749C"/>
    <w:rsid w:val="007974D3"/>
    <w:rsid w:val="00797879"/>
    <w:rsid w:val="00797A95"/>
    <w:rsid w:val="00797DA6"/>
    <w:rsid w:val="007A0181"/>
    <w:rsid w:val="007A02C8"/>
    <w:rsid w:val="007A054B"/>
    <w:rsid w:val="007A092E"/>
    <w:rsid w:val="007A0A2F"/>
    <w:rsid w:val="007A0A3C"/>
    <w:rsid w:val="007A0EA7"/>
    <w:rsid w:val="007A1722"/>
    <w:rsid w:val="007A17D9"/>
    <w:rsid w:val="007A1864"/>
    <w:rsid w:val="007A1C1D"/>
    <w:rsid w:val="007A23DB"/>
    <w:rsid w:val="007A2437"/>
    <w:rsid w:val="007A2D80"/>
    <w:rsid w:val="007A2F0C"/>
    <w:rsid w:val="007A301D"/>
    <w:rsid w:val="007A30DC"/>
    <w:rsid w:val="007A3A04"/>
    <w:rsid w:val="007A3DDC"/>
    <w:rsid w:val="007A3FAA"/>
    <w:rsid w:val="007A4149"/>
    <w:rsid w:val="007A4538"/>
    <w:rsid w:val="007A47E6"/>
    <w:rsid w:val="007A48C1"/>
    <w:rsid w:val="007A509A"/>
    <w:rsid w:val="007A54A9"/>
    <w:rsid w:val="007A589A"/>
    <w:rsid w:val="007A6928"/>
    <w:rsid w:val="007A6A55"/>
    <w:rsid w:val="007A6B9A"/>
    <w:rsid w:val="007A6CD4"/>
    <w:rsid w:val="007A7425"/>
    <w:rsid w:val="007A76CD"/>
    <w:rsid w:val="007A79E2"/>
    <w:rsid w:val="007A7F70"/>
    <w:rsid w:val="007B00C2"/>
    <w:rsid w:val="007B04D9"/>
    <w:rsid w:val="007B06C1"/>
    <w:rsid w:val="007B083C"/>
    <w:rsid w:val="007B0879"/>
    <w:rsid w:val="007B0A85"/>
    <w:rsid w:val="007B0ADF"/>
    <w:rsid w:val="007B0E7A"/>
    <w:rsid w:val="007B0EA0"/>
    <w:rsid w:val="007B112B"/>
    <w:rsid w:val="007B1340"/>
    <w:rsid w:val="007B15BE"/>
    <w:rsid w:val="007B186E"/>
    <w:rsid w:val="007B2126"/>
    <w:rsid w:val="007B2224"/>
    <w:rsid w:val="007B26D2"/>
    <w:rsid w:val="007B2A5B"/>
    <w:rsid w:val="007B2BBC"/>
    <w:rsid w:val="007B30FF"/>
    <w:rsid w:val="007B3242"/>
    <w:rsid w:val="007B3524"/>
    <w:rsid w:val="007B35AF"/>
    <w:rsid w:val="007B36AD"/>
    <w:rsid w:val="007B3898"/>
    <w:rsid w:val="007B3A78"/>
    <w:rsid w:val="007B4565"/>
    <w:rsid w:val="007B4E30"/>
    <w:rsid w:val="007B4FF3"/>
    <w:rsid w:val="007B5307"/>
    <w:rsid w:val="007B53E5"/>
    <w:rsid w:val="007B5763"/>
    <w:rsid w:val="007B5771"/>
    <w:rsid w:val="007B5907"/>
    <w:rsid w:val="007B5B93"/>
    <w:rsid w:val="007B5EBA"/>
    <w:rsid w:val="007B6296"/>
    <w:rsid w:val="007B6D98"/>
    <w:rsid w:val="007B70FB"/>
    <w:rsid w:val="007B748C"/>
    <w:rsid w:val="007B78A2"/>
    <w:rsid w:val="007C0362"/>
    <w:rsid w:val="007C0382"/>
    <w:rsid w:val="007C04D7"/>
    <w:rsid w:val="007C0A80"/>
    <w:rsid w:val="007C0BEF"/>
    <w:rsid w:val="007C1072"/>
    <w:rsid w:val="007C142A"/>
    <w:rsid w:val="007C14A5"/>
    <w:rsid w:val="007C1C58"/>
    <w:rsid w:val="007C1F67"/>
    <w:rsid w:val="007C3008"/>
    <w:rsid w:val="007C34AF"/>
    <w:rsid w:val="007C35C3"/>
    <w:rsid w:val="007C392D"/>
    <w:rsid w:val="007C3960"/>
    <w:rsid w:val="007C3C7A"/>
    <w:rsid w:val="007C40CF"/>
    <w:rsid w:val="007C418C"/>
    <w:rsid w:val="007C42BA"/>
    <w:rsid w:val="007C48DA"/>
    <w:rsid w:val="007C5125"/>
    <w:rsid w:val="007C573A"/>
    <w:rsid w:val="007C5967"/>
    <w:rsid w:val="007C6182"/>
    <w:rsid w:val="007C65E8"/>
    <w:rsid w:val="007C752D"/>
    <w:rsid w:val="007C78EB"/>
    <w:rsid w:val="007D007F"/>
    <w:rsid w:val="007D0293"/>
    <w:rsid w:val="007D07B2"/>
    <w:rsid w:val="007D07F3"/>
    <w:rsid w:val="007D0E23"/>
    <w:rsid w:val="007D1222"/>
    <w:rsid w:val="007D1A83"/>
    <w:rsid w:val="007D1DA4"/>
    <w:rsid w:val="007D244F"/>
    <w:rsid w:val="007D29A4"/>
    <w:rsid w:val="007D29D3"/>
    <w:rsid w:val="007D2E8C"/>
    <w:rsid w:val="007D34E2"/>
    <w:rsid w:val="007D36A7"/>
    <w:rsid w:val="007D3827"/>
    <w:rsid w:val="007D3B55"/>
    <w:rsid w:val="007D3CD8"/>
    <w:rsid w:val="007D408C"/>
    <w:rsid w:val="007D425C"/>
    <w:rsid w:val="007D45E7"/>
    <w:rsid w:val="007D46CD"/>
    <w:rsid w:val="007D4C5A"/>
    <w:rsid w:val="007D50FF"/>
    <w:rsid w:val="007D5184"/>
    <w:rsid w:val="007D55CB"/>
    <w:rsid w:val="007D566B"/>
    <w:rsid w:val="007D5D9F"/>
    <w:rsid w:val="007D69C0"/>
    <w:rsid w:val="007D6AB2"/>
    <w:rsid w:val="007D7108"/>
    <w:rsid w:val="007D7A2E"/>
    <w:rsid w:val="007D7C0A"/>
    <w:rsid w:val="007E030B"/>
    <w:rsid w:val="007E0721"/>
    <w:rsid w:val="007E09DD"/>
    <w:rsid w:val="007E0ABB"/>
    <w:rsid w:val="007E0CD5"/>
    <w:rsid w:val="007E0FF8"/>
    <w:rsid w:val="007E1229"/>
    <w:rsid w:val="007E1778"/>
    <w:rsid w:val="007E1DE4"/>
    <w:rsid w:val="007E2228"/>
    <w:rsid w:val="007E239B"/>
    <w:rsid w:val="007E26AE"/>
    <w:rsid w:val="007E2C69"/>
    <w:rsid w:val="007E32E3"/>
    <w:rsid w:val="007E39ED"/>
    <w:rsid w:val="007E3BA0"/>
    <w:rsid w:val="007E3E99"/>
    <w:rsid w:val="007E451B"/>
    <w:rsid w:val="007E4946"/>
    <w:rsid w:val="007E497B"/>
    <w:rsid w:val="007E4D95"/>
    <w:rsid w:val="007E4F1D"/>
    <w:rsid w:val="007E57A6"/>
    <w:rsid w:val="007E5A5B"/>
    <w:rsid w:val="007E5BE9"/>
    <w:rsid w:val="007E60F0"/>
    <w:rsid w:val="007E6B4A"/>
    <w:rsid w:val="007E6C59"/>
    <w:rsid w:val="007E6F56"/>
    <w:rsid w:val="007E706F"/>
    <w:rsid w:val="007E707F"/>
    <w:rsid w:val="007E7F22"/>
    <w:rsid w:val="007F007B"/>
    <w:rsid w:val="007F01D2"/>
    <w:rsid w:val="007F043A"/>
    <w:rsid w:val="007F0641"/>
    <w:rsid w:val="007F0D73"/>
    <w:rsid w:val="007F1151"/>
    <w:rsid w:val="007F122B"/>
    <w:rsid w:val="007F13B3"/>
    <w:rsid w:val="007F1411"/>
    <w:rsid w:val="007F165A"/>
    <w:rsid w:val="007F1DA0"/>
    <w:rsid w:val="007F23CB"/>
    <w:rsid w:val="007F264F"/>
    <w:rsid w:val="007F2DAE"/>
    <w:rsid w:val="007F2F49"/>
    <w:rsid w:val="007F2F54"/>
    <w:rsid w:val="007F2F65"/>
    <w:rsid w:val="007F3038"/>
    <w:rsid w:val="007F30B6"/>
    <w:rsid w:val="007F32FE"/>
    <w:rsid w:val="007F37DF"/>
    <w:rsid w:val="007F3AA0"/>
    <w:rsid w:val="007F3BED"/>
    <w:rsid w:val="007F4895"/>
    <w:rsid w:val="007F4A25"/>
    <w:rsid w:val="007F5747"/>
    <w:rsid w:val="007F5819"/>
    <w:rsid w:val="007F58FB"/>
    <w:rsid w:val="007F5F6A"/>
    <w:rsid w:val="007F6627"/>
    <w:rsid w:val="007F6642"/>
    <w:rsid w:val="007F6C1E"/>
    <w:rsid w:val="007F6CB6"/>
    <w:rsid w:val="007F6D2F"/>
    <w:rsid w:val="007F7166"/>
    <w:rsid w:val="007F7507"/>
    <w:rsid w:val="007F7A92"/>
    <w:rsid w:val="007F7ACF"/>
    <w:rsid w:val="007F7C79"/>
    <w:rsid w:val="0080008D"/>
    <w:rsid w:val="00800214"/>
    <w:rsid w:val="008009F2"/>
    <w:rsid w:val="00800A28"/>
    <w:rsid w:val="00801748"/>
    <w:rsid w:val="008020DD"/>
    <w:rsid w:val="008020FE"/>
    <w:rsid w:val="008029EC"/>
    <w:rsid w:val="00802ECC"/>
    <w:rsid w:val="008030CC"/>
    <w:rsid w:val="008035D0"/>
    <w:rsid w:val="00803FCE"/>
    <w:rsid w:val="0080421F"/>
    <w:rsid w:val="0080495F"/>
    <w:rsid w:val="00804E3F"/>
    <w:rsid w:val="00805060"/>
    <w:rsid w:val="00805273"/>
    <w:rsid w:val="00805483"/>
    <w:rsid w:val="008058B1"/>
    <w:rsid w:val="00805E1D"/>
    <w:rsid w:val="008063E1"/>
    <w:rsid w:val="00807044"/>
    <w:rsid w:val="008072E4"/>
    <w:rsid w:val="008076DD"/>
    <w:rsid w:val="0081085D"/>
    <w:rsid w:val="00810A4B"/>
    <w:rsid w:val="00810CA6"/>
    <w:rsid w:val="00810D0B"/>
    <w:rsid w:val="00811086"/>
    <w:rsid w:val="008113CC"/>
    <w:rsid w:val="00812031"/>
    <w:rsid w:val="00812846"/>
    <w:rsid w:val="008128B7"/>
    <w:rsid w:val="008129EC"/>
    <w:rsid w:val="00812F87"/>
    <w:rsid w:val="00813297"/>
    <w:rsid w:val="00813605"/>
    <w:rsid w:val="0081382C"/>
    <w:rsid w:val="00813F62"/>
    <w:rsid w:val="0081405E"/>
    <w:rsid w:val="008143A1"/>
    <w:rsid w:val="00814951"/>
    <w:rsid w:val="00814AF7"/>
    <w:rsid w:val="00814B8C"/>
    <w:rsid w:val="00814C77"/>
    <w:rsid w:val="00814D98"/>
    <w:rsid w:val="00815111"/>
    <w:rsid w:val="00816069"/>
    <w:rsid w:val="00816CEB"/>
    <w:rsid w:val="00816E4D"/>
    <w:rsid w:val="00816EBE"/>
    <w:rsid w:val="00816F44"/>
    <w:rsid w:val="00816FCD"/>
    <w:rsid w:val="00817583"/>
    <w:rsid w:val="00817850"/>
    <w:rsid w:val="00820040"/>
    <w:rsid w:val="0082014E"/>
    <w:rsid w:val="00820390"/>
    <w:rsid w:val="008206C1"/>
    <w:rsid w:val="00820A92"/>
    <w:rsid w:val="00820AB6"/>
    <w:rsid w:val="00821358"/>
    <w:rsid w:val="008218D0"/>
    <w:rsid w:val="00821AC0"/>
    <w:rsid w:val="00821F77"/>
    <w:rsid w:val="008223B3"/>
    <w:rsid w:val="008224A7"/>
    <w:rsid w:val="00822B1E"/>
    <w:rsid w:val="0082342B"/>
    <w:rsid w:val="00823937"/>
    <w:rsid w:val="0082397E"/>
    <w:rsid w:val="00823A8A"/>
    <w:rsid w:val="00823A9E"/>
    <w:rsid w:val="00823AFD"/>
    <w:rsid w:val="00823B4B"/>
    <w:rsid w:val="00823E8C"/>
    <w:rsid w:val="00823F36"/>
    <w:rsid w:val="00824E76"/>
    <w:rsid w:val="00824FE4"/>
    <w:rsid w:val="008251CF"/>
    <w:rsid w:val="00825931"/>
    <w:rsid w:val="00825F94"/>
    <w:rsid w:val="0082600E"/>
    <w:rsid w:val="00826103"/>
    <w:rsid w:val="00826668"/>
    <w:rsid w:val="00826C8F"/>
    <w:rsid w:val="00826D96"/>
    <w:rsid w:val="00827000"/>
    <w:rsid w:val="008277CA"/>
    <w:rsid w:val="00827AD4"/>
    <w:rsid w:val="00830DCF"/>
    <w:rsid w:val="00831077"/>
    <w:rsid w:val="0083166C"/>
    <w:rsid w:val="008316AC"/>
    <w:rsid w:val="008319CF"/>
    <w:rsid w:val="00831A66"/>
    <w:rsid w:val="00831B3D"/>
    <w:rsid w:val="008324AA"/>
    <w:rsid w:val="00832983"/>
    <w:rsid w:val="00832C13"/>
    <w:rsid w:val="00833007"/>
    <w:rsid w:val="008331AD"/>
    <w:rsid w:val="00833984"/>
    <w:rsid w:val="008339EF"/>
    <w:rsid w:val="00833FFC"/>
    <w:rsid w:val="00834A9A"/>
    <w:rsid w:val="008351E2"/>
    <w:rsid w:val="00835337"/>
    <w:rsid w:val="008356BF"/>
    <w:rsid w:val="008362CC"/>
    <w:rsid w:val="00836340"/>
    <w:rsid w:val="00836844"/>
    <w:rsid w:val="00836AD9"/>
    <w:rsid w:val="00836AF6"/>
    <w:rsid w:val="00836E10"/>
    <w:rsid w:val="00836F42"/>
    <w:rsid w:val="00837C97"/>
    <w:rsid w:val="00837F29"/>
    <w:rsid w:val="00840231"/>
    <w:rsid w:val="00840E88"/>
    <w:rsid w:val="00840F14"/>
    <w:rsid w:val="00841543"/>
    <w:rsid w:val="00841B12"/>
    <w:rsid w:val="0084204F"/>
    <w:rsid w:val="00842C36"/>
    <w:rsid w:val="0084365E"/>
    <w:rsid w:val="00843668"/>
    <w:rsid w:val="0084481C"/>
    <w:rsid w:val="00844A91"/>
    <w:rsid w:val="00844B0D"/>
    <w:rsid w:val="00844CCA"/>
    <w:rsid w:val="00844F46"/>
    <w:rsid w:val="00845478"/>
    <w:rsid w:val="00845B48"/>
    <w:rsid w:val="00845C2D"/>
    <w:rsid w:val="00845D81"/>
    <w:rsid w:val="00846124"/>
    <w:rsid w:val="0084659F"/>
    <w:rsid w:val="0084665E"/>
    <w:rsid w:val="008467A9"/>
    <w:rsid w:val="00846D31"/>
    <w:rsid w:val="00846F8E"/>
    <w:rsid w:val="0084724D"/>
    <w:rsid w:val="00847B8D"/>
    <w:rsid w:val="00847C53"/>
    <w:rsid w:val="00847EDD"/>
    <w:rsid w:val="00850145"/>
    <w:rsid w:val="00850321"/>
    <w:rsid w:val="0085038F"/>
    <w:rsid w:val="008506C1"/>
    <w:rsid w:val="008507DF"/>
    <w:rsid w:val="008507E5"/>
    <w:rsid w:val="00850808"/>
    <w:rsid w:val="00850858"/>
    <w:rsid w:val="00850966"/>
    <w:rsid w:val="00850AEC"/>
    <w:rsid w:val="00850B85"/>
    <w:rsid w:val="00850C28"/>
    <w:rsid w:val="00851B66"/>
    <w:rsid w:val="00851DF3"/>
    <w:rsid w:val="008521C8"/>
    <w:rsid w:val="00852265"/>
    <w:rsid w:val="00852288"/>
    <w:rsid w:val="00852545"/>
    <w:rsid w:val="0085290F"/>
    <w:rsid w:val="00852A03"/>
    <w:rsid w:val="00852DED"/>
    <w:rsid w:val="00852E60"/>
    <w:rsid w:val="00853030"/>
    <w:rsid w:val="00853F83"/>
    <w:rsid w:val="0085400D"/>
    <w:rsid w:val="00854062"/>
    <w:rsid w:val="0085444D"/>
    <w:rsid w:val="00854789"/>
    <w:rsid w:val="008549E1"/>
    <w:rsid w:val="00854BAA"/>
    <w:rsid w:val="00855089"/>
    <w:rsid w:val="00855241"/>
    <w:rsid w:val="0085575A"/>
    <w:rsid w:val="008559B5"/>
    <w:rsid w:val="00855A02"/>
    <w:rsid w:val="00856191"/>
    <w:rsid w:val="008563F0"/>
    <w:rsid w:val="008566A4"/>
    <w:rsid w:val="00856B9B"/>
    <w:rsid w:val="008575C8"/>
    <w:rsid w:val="00857AAF"/>
    <w:rsid w:val="0086070D"/>
    <w:rsid w:val="00861352"/>
    <w:rsid w:val="0086148E"/>
    <w:rsid w:val="008618E2"/>
    <w:rsid w:val="00861921"/>
    <w:rsid w:val="00861E04"/>
    <w:rsid w:val="008624C1"/>
    <w:rsid w:val="00862774"/>
    <w:rsid w:val="0086297B"/>
    <w:rsid w:val="0086397C"/>
    <w:rsid w:val="0086406C"/>
    <w:rsid w:val="008648DF"/>
    <w:rsid w:val="00864A0C"/>
    <w:rsid w:val="00864A8B"/>
    <w:rsid w:val="008658E9"/>
    <w:rsid w:val="00865B02"/>
    <w:rsid w:val="008663E4"/>
    <w:rsid w:val="00866F6B"/>
    <w:rsid w:val="00866FB6"/>
    <w:rsid w:val="0086715E"/>
    <w:rsid w:val="00867227"/>
    <w:rsid w:val="00867330"/>
    <w:rsid w:val="008674A9"/>
    <w:rsid w:val="00867E22"/>
    <w:rsid w:val="00867ED8"/>
    <w:rsid w:val="0087023C"/>
    <w:rsid w:val="008702D2"/>
    <w:rsid w:val="0087096F"/>
    <w:rsid w:val="00871A3D"/>
    <w:rsid w:val="00871AA8"/>
    <w:rsid w:val="00871B62"/>
    <w:rsid w:val="00871F3E"/>
    <w:rsid w:val="0087223D"/>
    <w:rsid w:val="00872341"/>
    <w:rsid w:val="00872646"/>
    <w:rsid w:val="00872EFF"/>
    <w:rsid w:val="0087320E"/>
    <w:rsid w:val="00873322"/>
    <w:rsid w:val="00873734"/>
    <w:rsid w:val="008737C9"/>
    <w:rsid w:val="00873998"/>
    <w:rsid w:val="008739BA"/>
    <w:rsid w:val="00873CE6"/>
    <w:rsid w:val="00873E56"/>
    <w:rsid w:val="008740F3"/>
    <w:rsid w:val="0087452C"/>
    <w:rsid w:val="00874E00"/>
    <w:rsid w:val="008752C4"/>
    <w:rsid w:val="00875423"/>
    <w:rsid w:val="00875D05"/>
    <w:rsid w:val="00875D4D"/>
    <w:rsid w:val="00876108"/>
    <w:rsid w:val="0087647F"/>
    <w:rsid w:val="008768D7"/>
    <w:rsid w:val="00877340"/>
    <w:rsid w:val="008773A4"/>
    <w:rsid w:val="00877494"/>
    <w:rsid w:val="00877815"/>
    <w:rsid w:val="008805E9"/>
    <w:rsid w:val="00880D1A"/>
    <w:rsid w:val="00880ECC"/>
    <w:rsid w:val="00881208"/>
    <w:rsid w:val="0088132F"/>
    <w:rsid w:val="00881413"/>
    <w:rsid w:val="00881861"/>
    <w:rsid w:val="00881C20"/>
    <w:rsid w:val="0088205C"/>
    <w:rsid w:val="00882775"/>
    <w:rsid w:val="00882854"/>
    <w:rsid w:val="00882BD0"/>
    <w:rsid w:val="00883A45"/>
    <w:rsid w:val="00884075"/>
    <w:rsid w:val="008847F5"/>
    <w:rsid w:val="00884C9E"/>
    <w:rsid w:val="00884ED0"/>
    <w:rsid w:val="00884EE5"/>
    <w:rsid w:val="008852E2"/>
    <w:rsid w:val="00885BCA"/>
    <w:rsid w:val="00885C37"/>
    <w:rsid w:val="00885C57"/>
    <w:rsid w:val="00885D57"/>
    <w:rsid w:val="00886202"/>
    <w:rsid w:val="008863D0"/>
    <w:rsid w:val="008864EA"/>
    <w:rsid w:val="0088653A"/>
    <w:rsid w:val="00886559"/>
    <w:rsid w:val="008866B3"/>
    <w:rsid w:val="008866E3"/>
    <w:rsid w:val="00886728"/>
    <w:rsid w:val="00886744"/>
    <w:rsid w:val="00886B01"/>
    <w:rsid w:val="00887060"/>
    <w:rsid w:val="00887326"/>
    <w:rsid w:val="008876CE"/>
    <w:rsid w:val="00887A92"/>
    <w:rsid w:val="00887BF8"/>
    <w:rsid w:val="00887CD8"/>
    <w:rsid w:val="00887DB2"/>
    <w:rsid w:val="008904D4"/>
    <w:rsid w:val="00890634"/>
    <w:rsid w:val="00890908"/>
    <w:rsid w:val="00890B39"/>
    <w:rsid w:val="00890CB2"/>
    <w:rsid w:val="00890D3F"/>
    <w:rsid w:val="0089177C"/>
    <w:rsid w:val="008919A1"/>
    <w:rsid w:val="00891EC9"/>
    <w:rsid w:val="00892698"/>
    <w:rsid w:val="008928A7"/>
    <w:rsid w:val="00892DE1"/>
    <w:rsid w:val="0089322A"/>
    <w:rsid w:val="00893A89"/>
    <w:rsid w:val="00893A9E"/>
    <w:rsid w:val="00893F4C"/>
    <w:rsid w:val="008942C0"/>
    <w:rsid w:val="008944F2"/>
    <w:rsid w:val="0089478B"/>
    <w:rsid w:val="00894AE1"/>
    <w:rsid w:val="00894E2D"/>
    <w:rsid w:val="00895126"/>
    <w:rsid w:val="00895C38"/>
    <w:rsid w:val="008962EF"/>
    <w:rsid w:val="00896944"/>
    <w:rsid w:val="00896FBA"/>
    <w:rsid w:val="008975DD"/>
    <w:rsid w:val="008976B5"/>
    <w:rsid w:val="008A0753"/>
    <w:rsid w:val="008A095E"/>
    <w:rsid w:val="008A0AC1"/>
    <w:rsid w:val="008A0B82"/>
    <w:rsid w:val="008A0CF9"/>
    <w:rsid w:val="008A0D2B"/>
    <w:rsid w:val="008A0D58"/>
    <w:rsid w:val="008A10F4"/>
    <w:rsid w:val="008A1499"/>
    <w:rsid w:val="008A29DB"/>
    <w:rsid w:val="008A2E42"/>
    <w:rsid w:val="008A2EC4"/>
    <w:rsid w:val="008A3A44"/>
    <w:rsid w:val="008A4962"/>
    <w:rsid w:val="008A4A61"/>
    <w:rsid w:val="008A4C71"/>
    <w:rsid w:val="008A4FEF"/>
    <w:rsid w:val="008A526B"/>
    <w:rsid w:val="008A5607"/>
    <w:rsid w:val="008A578C"/>
    <w:rsid w:val="008A5A7E"/>
    <w:rsid w:val="008A5F8E"/>
    <w:rsid w:val="008A6376"/>
    <w:rsid w:val="008A6840"/>
    <w:rsid w:val="008A68B9"/>
    <w:rsid w:val="008A6BFF"/>
    <w:rsid w:val="008A6ECC"/>
    <w:rsid w:val="008A6F4C"/>
    <w:rsid w:val="008A6FB8"/>
    <w:rsid w:val="008A745F"/>
    <w:rsid w:val="008A74F3"/>
    <w:rsid w:val="008B017C"/>
    <w:rsid w:val="008B0203"/>
    <w:rsid w:val="008B047A"/>
    <w:rsid w:val="008B052D"/>
    <w:rsid w:val="008B077B"/>
    <w:rsid w:val="008B0AEC"/>
    <w:rsid w:val="008B0CDA"/>
    <w:rsid w:val="008B0FD8"/>
    <w:rsid w:val="008B1A12"/>
    <w:rsid w:val="008B1BFB"/>
    <w:rsid w:val="008B1D76"/>
    <w:rsid w:val="008B2529"/>
    <w:rsid w:val="008B2A9D"/>
    <w:rsid w:val="008B2D72"/>
    <w:rsid w:val="008B30A9"/>
    <w:rsid w:val="008B3F1D"/>
    <w:rsid w:val="008B43AD"/>
    <w:rsid w:val="008B43E1"/>
    <w:rsid w:val="008B4798"/>
    <w:rsid w:val="008B4956"/>
    <w:rsid w:val="008B4A57"/>
    <w:rsid w:val="008B4E84"/>
    <w:rsid w:val="008B5599"/>
    <w:rsid w:val="008B60AB"/>
    <w:rsid w:val="008B6884"/>
    <w:rsid w:val="008B697F"/>
    <w:rsid w:val="008B6C7E"/>
    <w:rsid w:val="008B6DDB"/>
    <w:rsid w:val="008B6E1B"/>
    <w:rsid w:val="008B70B5"/>
    <w:rsid w:val="008B71AB"/>
    <w:rsid w:val="008B73FA"/>
    <w:rsid w:val="008B74D9"/>
    <w:rsid w:val="008B7759"/>
    <w:rsid w:val="008B7C99"/>
    <w:rsid w:val="008B7D50"/>
    <w:rsid w:val="008C0129"/>
    <w:rsid w:val="008C08CD"/>
    <w:rsid w:val="008C091A"/>
    <w:rsid w:val="008C0B10"/>
    <w:rsid w:val="008C0B31"/>
    <w:rsid w:val="008C0D79"/>
    <w:rsid w:val="008C0DE1"/>
    <w:rsid w:val="008C1098"/>
    <w:rsid w:val="008C1BC5"/>
    <w:rsid w:val="008C1C2C"/>
    <w:rsid w:val="008C1F1B"/>
    <w:rsid w:val="008C2345"/>
    <w:rsid w:val="008C2C69"/>
    <w:rsid w:val="008C2F3C"/>
    <w:rsid w:val="008C2F98"/>
    <w:rsid w:val="008C32E0"/>
    <w:rsid w:val="008C33ED"/>
    <w:rsid w:val="008C3526"/>
    <w:rsid w:val="008C3844"/>
    <w:rsid w:val="008C388C"/>
    <w:rsid w:val="008C4333"/>
    <w:rsid w:val="008C4A60"/>
    <w:rsid w:val="008C5362"/>
    <w:rsid w:val="008C5A14"/>
    <w:rsid w:val="008C5B0F"/>
    <w:rsid w:val="008C5BC3"/>
    <w:rsid w:val="008C654A"/>
    <w:rsid w:val="008C6D6F"/>
    <w:rsid w:val="008C7786"/>
    <w:rsid w:val="008D0075"/>
    <w:rsid w:val="008D027C"/>
    <w:rsid w:val="008D0ADA"/>
    <w:rsid w:val="008D0BE2"/>
    <w:rsid w:val="008D0F43"/>
    <w:rsid w:val="008D1266"/>
    <w:rsid w:val="008D1935"/>
    <w:rsid w:val="008D1F1F"/>
    <w:rsid w:val="008D1FDF"/>
    <w:rsid w:val="008D243A"/>
    <w:rsid w:val="008D2F42"/>
    <w:rsid w:val="008D3723"/>
    <w:rsid w:val="008D3A93"/>
    <w:rsid w:val="008D3ED7"/>
    <w:rsid w:val="008D4047"/>
    <w:rsid w:val="008D41FA"/>
    <w:rsid w:val="008D44C7"/>
    <w:rsid w:val="008D49F8"/>
    <w:rsid w:val="008D4AB4"/>
    <w:rsid w:val="008D4D0A"/>
    <w:rsid w:val="008D4E86"/>
    <w:rsid w:val="008D5301"/>
    <w:rsid w:val="008D5342"/>
    <w:rsid w:val="008D53A4"/>
    <w:rsid w:val="008D53AD"/>
    <w:rsid w:val="008D6124"/>
    <w:rsid w:val="008D62DF"/>
    <w:rsid w:val="008D67C7"/>
    <w:rsid w:val="008D7183"/>
    <w:rsid w:val="008D7BFA"/>
    <w:rsid w:val="008D7C78"/>
    <w:rsid w:val="008D7F41"/>
    <w:rsid w:val="008E001E"/>
    <w:rsid w:val="008E056A"/>
    <w:rsid w:val="008E06AE"/>
    <w:rsid w:val="008E0FA2"/>
    <w:rsid w:val="008E2293"/>
    <w:rsid w:val="008E2751"/>
    <w:rsid w:val="008E27C5"/>
    <w:rsid w:val="008E27DB"/>
    <w:rsid w:val="008E2945"/>
    <w:rsid w:val="008E2962"/>
    <w:rsid w:val="008E29AA"/>
    <w:rsid w:val="008E31DB"/>
    <w:rsid w:val="008E3AFA"/>
    <w:rsid w:val="008E3BF4"/>
    <w:rsid w:val="008E4076"/>
    <w:rsid w:val="008E4422"/>
    <w:rsid w:val="008E45CB"/>
    <w:rsid w:val="008E483E"/>
    <w:rsid w:val="008E4A0E"/>
    <w:rsid w:val="008E4AEF"/>
    <w:rsid w:val="008E4C42"/>
    <w:rsid w:val="008E56F9"/>
    <w:rsid w:val="008E5841"/>
    <w:rsid w:val="008E5B7F"/>
    <w:rsid w:val="008E602F"/>
    <w:rsid w:val="008E61DC"/>
    <w:rsid w:val="008E61F7"/>
    <w:rsid w:val="008E62D7"/>
    <w:rsid w:val="008E694C"/>
    <w:rsid w:val="008E7073"/>
    <w:rsid w:val="008E70CC"/>
    <w:rsid w:val="008E74B9"/>
    <w:rsid w:val="008E78EA"/>
    <w:rsid w:val="008F0374"/>
    <w:rsid w:val="008F0529"/>
    <w:rsid w:val="008F07CD"/>
    <w:rsid w:val="008F0C42"/>
    <w:rsid w:val="008F0D86"/>
    <w:rsid w:val="008F0F03"/>
    <w:rsid w:val="008F1560"/>
    <w:rsid w:val="008F17FA"/>
    <w:rsid w:val="008F1CB5"/>
    <w:rsid w:val="008F1DDF"/>
    <w:rsid w:val="008F21DE"/>
    <w:rsid w:val="008F223F"/>
    <w:rsid w:val="008F276C"/>
    <w:rsid w:val="008F2850"/>
    <w:rsid w:val="008F297B"/>
    <w:rsid w:val="008F29E8"/>
    <w:rsid w:val="008F338F"/>
    <w:rsid w:val="008F38A1"/>
    <w:rsid w:val="008F401F"/>
    <w:rsid w:val="008F4043"/>
    <w:rsid w:val="008F48A6"/>
    <w:rsid w:val="008F4A4C"/>
    <w:rsid w:val="008F4E18"/>
    <w:rsid w:val="008F4F63"/>
    <w:rsid w:val="008F5276"/>
    <w:rsid w:val="008F57EE"/>
    <w:rsid w:val="008F5841"/>
    <w:rsid w:val="008F6894"/>
    <w:rsid w:val="008F6B5F"/>
    <w:rsid w:val="008F6C42"/>
    <w:rsid w:val="008F703E"/>
    <w:rsid w:val="008F772F"/>
    <w:rsid w:val="008F7760"/>
    <w:rsid w:val="008F7BC4"/>
    <w:rsid w:val="008F7C00"/>
    <w:rsid w:val="0090006B"/>
    <w:rsid w:val="00900E18"/>
    <w:rsid w:val="0090117E"/>
    <w:rsid w:val="00901B57"/>
    <w:rsid w:val="00901D14"/>
    <w:rsid w:val="00901D51"/>
    <w:rsid w:val="0090215A"/>
    <w:rsid w:val="00902B34"/>
    <w:rsid w:val="009034C6"/>
    <w:rsid w:val="00903A28"/>
    <w:rsid w:val="00903AA8"/>
    <w:rsid w:val="00903C9C"/>
    <w:rsid w:val="00903D92"/>
    <w:rsid w:val="00903E24"/>
    <w:rsid w:val="00903FB5"/>
    <w:rsid w:val="00904429"/>
    <w:rsid w:val="00904A99"/>
    <w:rsid w:val="00904AEF"/>
    <w:rsid w:val="00904E82"/>
    <w:rsid w:val="00905092"/>
    <w:rsid w:val="00905B6B"/>
    <w:rsid w:val="00905FA0"/>
    <w:rsid w:val="009062BE"/>
    <w:rsid w:val="009063C3"/>
    <w:rsid w:val="00906944"/>
    <w:rsid w:val="0090694A"/>
    <w:rsid w:val="00906A7F"/>
    <w:rsid w:val="00907316"/>
    <w:rsid w:val="009076C6"/>
    <w:rsid w:val="009078FC"/>
    <w:rsid w:val="009105DD"/>
    <w:rsid w:val="00910869"/>
    <w:rsid w:val="00910B20"/>
    <w:rsid w:val="00910B2B"/>
    <w:rsid w:val="00910C9F"/>
    <w:rsid w:val="00910E5B"/>
    <w:rsid w:val="009111EB"/>
    <w:rsid w:val="009117B2"/>
    <w:rsid w:val="00911A47"/>
    <w:rsid w:val="0091250A"/>
    <w:rsid w:val="0091261F"/>
    <w:rsid w:val="00912B3F"/>
    <w:rsid w:val="00912E91"/>
    <w:rsid w:val="009133EA"/>
    <w:rsid w:val="00913431"/>
    <w:rsid w:val="00913559"/>
    <w:rsid w:val="009135D6"/>
    <w:rsid w:val="0091395E"/>
    <w:rsid w:val="00913AAD"/>
    <w:rsid w:val="00913B7E"/>
    <w:rsid w:val="009149DF"/>
    <w:rsid w:val="00914BC5"/>
    <w:rsid w:val="0091501F"/>
    <w:rsid w:val="00915062"/>
    <w:rsid w:val="0091511B"/>
    <w:rsid w:val="009152BF"/>
    <w:rsid w:val="0091553A"/>
    <w:rsid w:val="00915F28"/>
    <w:rsid w:val="00916561"/>
    <w:rsid w:val="00916D28"/>
    <w:rsid w:val="00916E54"/>
    <w:rsid w:val="00917027"/>
    <w:rsid w:val="00917070"/>
    <w:rsid w:val="0091736E"/>
    <w:rsid w:val="009175A3"/>
    <w:rsid w:val="009178E7"/>
    <w:rsid w:val="00917901"/>
    <w:rsid w:val="00917B02"/>
    <w:rsid w:val="00917C5C"/>
    <w:rsid w:val="0092009F"/>
    <w:rsid w:val="0092033A"/>
    <w:rsid w:val="00920C04"/>
    <w:rsid w:val="00920CE7"/>
    <w:rsid w:val="009219CB"/>
    <w:rsid w:val="00921CE0"/>
    <w:rsid w:val="00921FB7"/>
    <w:rsid w:val="0092228F"/>
    <w:rsid w:val="00922816"/>
    <w:rsid w:val="0092293D"/>
    <w:rsid w:val="00922D14"/>
    <w:rsid w:val="00923488"/>
    <w:rsid w:val="00923B51"/>
    <w:rsid w:val="00923D5A"/>
    <w:rsid w:val="00923DA7"/>
    <w:rsid w:val="00923E0C"/>
    <w:rsid w:val="0092407F"/>
    <w:rsid w:val="009240C5"/>
    <w:rsid w:val="009240E9"/>
    <w:rsid w:val="00924290"/>
    <w:rsid w:val="0092491F"/>
    <w:rsid w:val="00924C57"/>
    <w:rsid w:val="00925023"/>
    <w:rsid w:val="0092515F"/>
    <w:rsid w:val="009252D3"/>
    <w:rsid w:val="0092571D"/>
    <w:rsid w:val="009259BA"/>
    <w:rsid w:val="00925C3E"/>
    <w:rsid w:val="00925E7F"/>
    <w:rsid w:val="009270A3"/>
    <w:rsid w:val="00927449"/>
    <w:rsid w:val="009275DC"/>
    <w:rsid w:val="0092793E"/>
    <w:rsid w:val="00927F50"/>
    <w:rsid w:val="00930034"/>
    <w:rsid w:val="00930332"/>
    <w:rsid w:val="009303B4"/>
    <w:rsid w:val="0093044C"/>
    <w:rsid w:val="00930881"/>
    <w:rsid w:val="00930B3D"/>
    <w:rsid w:val="0093113C"/>
    <w:rsid w:val="009312F8"/>
    <w:rsid w:val="009314F1"/>
    <w:rsid w:val="00931871"/>
    <w:rsid w:val="00931D04"/>
    <w:rsid w:val="00931D3E"/>
    <w:rsid w:val="00931ECB"/>
    <w:rsid w:val="00931F7D"/>
    <w:rsid w:val="0093226C"/>
    <w:rsid w:val="00932352"/>
    <w:rsid w:val="00932460"/>
    <w:rsid w:val="0093279B"/>
    <w:rsid w:val="00932901"/>
    <w:rsid w:val="00932DAC"/>
    <w:rsid w:val="009336AB"/>
    <w:rsid w:val="00933716"/>
    <w:rsid w:val="00933B20"/>
    <w:rsid w:val="0093414B"/>
    <w:rsid w:val="00934340"/>
    <w:rsid w:val="0093442A"/>
    <w:rsid w:val="009347C4"/>
    <w:rsid w:val="00935148"/>
    <w:rsid w:val="0093556C"/>
    <w:rsid w:val="00935BDA"/>
    <w:rsid w:val="00936293"/>
    <w:rsid w:val="00936532"/>
    <w:rsid w:val="00936D12"/>
    <w:rsid w:val="00937E88"/>
    <w:rsid w:val="00937F7E"/>
    <w:rsid w:val="00941ED0"/>
    <w:rsid w:val="00942149"/>
    <w:rsid w:val="009421C4"/>
    <w:rsid w:val="009421FB"/>
    <w:rsid w:val="00942B44"/>
    <w:rsid w:val="00942D56"/>
    <w:rsid w:val="0094317E"/>
    <w:rsid w:val="0094372F"/>
    <w:rsid w:val="00943DE6"/>
    <w:rsid w:val="00943FC2"/>
    <w:rsid w:val="0094418C"/>
    <w:rsid w:val="00944641"/>
    <w:rsid w:val="00944AB5"/>
    <w:rsid w:val="00945556"/>
    <w:rsid w:val="009458D3"/>
    <w:rsid w:val="00945B41"/>
    <w:rsid w:val="0094693C"/>
    <w:rsid w:val="00946ADF"/>
    <w:rsid w:val="009472CA"/>
    <w:rsid w:val="00947548"/>
    <w:rsid w:val="00947ED5"/>
    <w:rsid w:val="0095006D"/>
    <w:rsid w:val="00950173"/>
    <w:rsid w:val="0095029F"/>
    <w:rsid w:val="00950312"/>
    <w:rsid w:val="00950626"/>
    <w:rsid w:val="00950BA5"/>
    <w:rsid w:val="00950FA1"/>
    <w:rsid w:val="00951453"/>
    <w:rsid w:val="00952134"/>
    <w:rsid w:val="0095237B"/>
    <w:rsid w:val="00952968"/>
    <w:rsid w:val="00952DC6"/>
    <w:rsid w:val="00953B52"/>
    <w:rsid w:val="00953C36"/>
    <w:rsid w:val="00954035"/>
    <w:rsid w:val="00954142"/>
    <w:rsid w:val="0095416F"/>
    <w:rsid w:val="0095449F"/>
    <w:rsid w:val="00954607"/>
    <w:rsid w:val="00954D35"/>
    <w:rsid w:val="009551BD"/>
    <w:rsid w:val="0095538F"/>
    <w:rsid w:val="00955659"/>
    <w:rsid w:val="00955AF6"/>
    <w:rsid w:val="00955BEB"/>
    <w:rsid w:val="00955BFF"/>
    <w:rsid w:val="00955F22"/>
    <w:rsid w:val="009564A7"/>
    <w:rsid w:val="009568F0"/>
    <w:rsid w:val="00956A60"/>
    <w:rsid w:val="00956C79"/>
    <w:rsid w:val="009570DC"/>
    <w:rsid w:val="00957397"/>
    <w:rsid w:val="00957A0B"/>
    <w:rsid w:val="00957B4D"/>
    <w:rsid w:val="00957DC9"/>
    <w:rsid w:val="00957EC3"/>
    <w:rsid w:val="00960175"/>
    <w:rsid w:val="00960545"/>
    <w:rsid w:val="0096070E"/>
    <w:rsid w:val="00960CD4"/>
    <w:rsid w:val="00960F3C"/>
    <w:rsid w:val="00961626"/>
    <w:rsid w:val="00961634"/>
    <w:rsid w:val="00961850"/>
    <w:rsid w:val="00961953"/>
    <w:rsid w:val="009619B1"/>
    <w:rsid w:val="00961C06"/>
    <w:rsid w:val="009621D7"/>
    <w:rsid w:val="00962437"/>
    <w:rsid w:val="0096265D"/>
    <w:rsid w:val="009626E3"/>
    <w:rsid w:val="009627BC"/>
    <w:rsid w:val="00962A25"/>
    <w:rsid w:val="00962B0A"/>
    <w:rsid w:val="0096300A"/>
    <w:rsid w:val="0096300E"/>
    <w:rsid w:val="009633F3"/>
    <w:rsid w:val="0096354A"/>
    <w:rsid w:val="00963A8B"/>
    <w:rsid w:val="00963EB5"/>
    <w:rsid w:val="00964D71"/>
    <w:rsid w:val="00964F54"/>
    <w:rsid w:val="009653D6"/>
    <w:rsid w:val="009654D5"/>
    <w:rsid w:val="0096575E"/>
    <w:rsid w:val="00966104"/>
    <w:rsid w:val="009661B5"/>
    <w:rsid w:val="009663E7"/>
    <w:rsid w:val="009663FB"/>
    <w:rsid w:val="00966684"/>
    <w:rsid w:val="009666A7"/>
    <w:rsid w:val="00966CCF"/>
    <w:rsid w:val="00966F22"/>
    <w:rsid w:val="00967254"/>
    <w:rsid w:val="009672FE"/>
    <w:rsid w:val="009673A4"/>
    <w:rsid w:val="009673C7"/>
    <w:rsid w:val="0097048D"/>
    <w:rsid w:val="00971D2B"/>
    <w:rsid w:val="00971EBE"/>
    <w:rsid w:val="009720BA"/>
    <w:rsid w:val="009722AD"/>
    <w:rsid w:val="00972718"/>
    <w:rsid w:val="0097292C"/>
    <w:rsid w:val="00972ACD"/>
    <w:rsid w:val="00972DBC"/>
    <w:rsid w:val="00973029"/>
    <w:rsid w:val="009734DA"/>
    <w:rsid w:val="009735A4"/>
    <w:rsid w:val="009735AF"/>
    <w:rsid w:val="0097374F"/>
    <w:rsid w:val="00973A2F"/>
    <w:rsid w:val="00973C36"/>
    <w:rsid w:val="00973C43"/>
    <w:rsid w:val="00973D18"/>
    <w:rsid w:val="00973E7F"/>
    <w:rsid w:val="00974626"/>
    <w:rsid w:val="00974A21"/>
    <w:rsid w:val="00974B8B"/>
    <w:rsid w:val="00974D15"/>
    <w:rsid w:val="00974F79"/>
    <w:rsid w:val="009752DD"/>
    <w:rsid w:val="009754A0"/>
    <w:rsid w:val="00975C62"/>
    <w:rsid w:val="00976100"/>
    <w:rsid w:val="009765E6"/>
    <w:rsid w:val="009767D1"/>
    <w:rsid w:val="00976DCC"/>
    <w:rsid w:val="0097701A"/>
    <w:rsid w:val="0097753A"/>
    <w:rsid w:val="0097758E"/>
    <w:rsid w:val="00977987"/>
    <w:rsid w:val="00977BE7"/>
    <w:rsid w:val="00977E3C"/>
    <w:rsid w:val="00980467"/>
    <w:rsid w:val="0098068B"/>
    <w:rsid w:val="009807E9"/>
    <w:rsid w:val="00981A5A"/>
    <w:rsid w:val="00981ABE"/>
    <w:rsid w:val="00981FCE"/>
    <w:rsid w:val="009821C9"/>
    <w:rsid w:val="00982217"/>
    <w:rsid w:val="00982625"/>
    <w:rsid w:val="00982755"/>
    <w:rsid w:val="009832D5"/>
    <w:rsid w:val="009833BD"/>
    <w:rsid w:val="009833D8"/>
    <w:rsid w:val="009837B2"/>
    <w:rsid w:val="00984150"/>
    <w:rsid w:val="00984757"/>
    <w:rsid w:val="0098483B"/>
    <w:rsid w:val="00984973"/>
    <w:rsid w:val="009849C2"/>
    <w:rsid w:val="00984A5F"/>
    <w:rsid w:val="00984ECC"/>
    <w:rsid w:val="00984ED7"/>
    <w:rsid w:val="00985327"/>
    <w:rsid w:val="009853DD"/>
    <w:rsid w:val="00985412"/>
    <w:rsid w:val="00985750"/>
    <w:rsid w:val="00985B25"/>
    <w:rsid w:val="00985BA1"/>
    <w:rsid w:val="00985D4E"/>
    <w:rsid w:val="00985D7C"/>
    <w:rsid w:val="00985E9F"/>
    <w:rsid w:val="00987336"/>
    <w:rsid w:val="0099099C"/>
    <w:rsid w:val="009909E6"/>
    <w:rsid w:val="00990D47"/>
    <w:rsid w:val="00991064"/>
    <w:rsid w:val="0099162B"/>
    <w:rsid w:val="00991698"/>
    <w:rsid w:val="00991784"/>
    <w:rsid w:val="00991919"/>
    <w:rsid w:val="00991996"/>
    <w:rsid w:val="00991A4B"/>
    <w:rsid w:val="00991E2D"/>
    <w:rsid w:val="00992333"/>
    <w:rsid w:val="00992397"/>
    <w:rsid w:val="009928A8"/>
    <w:rsid w:val="00992C64"/>
    <w:rsid w:val="0099379E"/>
    <w:rsid w:val="009938AF"/>
    <w:rsid w:val="00993CEE"/>
    <w:rsid w:val="00993EB5"/>
    <w:rsid w:val="009948EC"/>
    <w:rsid w:val="00994D5B"/>
    <w:rsid w:val="00994DA0"/>
    <w:rsid w:val="00994EE7"/>
    <w:rsid w:val="0099583D"/>
    <w:rsid w:val="00996091"/>
    <w:rsid w:val="009964BB"/>
    <w:rsid w:val="00996772"/>
    <w:rsid w:val="00996796"/>
    <w:rsid w:val="00996AFC"/>
    <w:rsid w:val="00996BD9"/>
    <w:rsid w:val="0099702B"/>
    <w:rsid w:val="00997543"/>
    <w:rsid w:val="009975B6"/>
    <w:rsid w:val="009976B1"/>
    <w:rsid w:val="009A0230"/>
    <w:rsid w:val="009A0875"/>
    <w:rsid w:val="009A12C3"/>
    <w:rsid w:val="009A135F"/>
    <w:rsid w:val="009A1471"/>
    <w:rsid w:val="009A16D2"/>
    <w:rsid w:val="009A1C51"/>
    <w:rsid w:val="009A1C94"/>
    <w:rsid w:val="009A2AA7"/>
    <w:rsid w:val="009A2F32"/>
    <w:rsid w:val="009A3432"/>
    <w:rsid w:val="009A3A58"/>
    <w:rsid w:val="009A43F3"/>
    <w:rsid w:val="009A44F4"/>
    <w:rsid w:val="009A46BF"/>
    <w:rsid w:val="009A485C"/>
    <w:rsid w:val="009A49E7"/>
    <w:rsid w:val="009A4D8E"/>
    <w:rsid w:val="009A4FAE"/>
    <w:rsid w:val="009A56EF"/>
    <w:rsid w:val="009A5E72"/>
    <w:rsid w:val="009A64A5"/>
    <w:rsid w:val="009A707D"/>
    <w:rsid w:val="009A7505"/>
    <w:rsid w:val="009A7982"/>
    <w:rsid w:val="009A798A"/>
    <w:rsid w:val="009A7D52"/>
    <w:rsid w:val="009B0099"/>
    <w:rsid w:val="009B072A"/>
    <w:rsid w:val="009B09C5"/>
    <w:rsid w:val="009B0A7F"/>
    <w:rsid w:val="009B0BCF"/>
    <w:rsid w:val="009B0FEE"/>
    <w:rsid w:val="009B1127"/>
    <w:rsid w:val="009B1389"/>
    <w:rsid w:val="009B1396"/>
    <w:rsid w:val="009B1989"/>
    <w:rsid w:val="009B1A66"/>
    <w:rsid w:val="009B1ABE"/>
    <w:rsid w:val="009B207F"/>
    <w:rsid w:val="009B23AE"/>
    <w:rsid w:val="009B2C54"/>
    <w:rsid w:val="009B3C16"/>
    <w:rsid w:val="009B3C6E"/>
    <w:rsid w:val="009B409A"/>
    <w:rsid w:val="009B4114"/>
    <w:rsid w:val="009B4266"/>
    <w:rsid w:val="009B448E"/>
    <w:rsid w:val="009B479E"/>
    <w:rsid w:val="009B4CA5"/>
    <w:rsid w:val="009B4D61"/>
    <w:rsid w:val="009B4E42"/>
    <w:rsid w:val="009B5789"/>
    <w:rsid w:val="009B5F2B"/>
    <w:rsid w:val="009B61AF"/>
    <w:rsid w:val="009B63B8"/>
    <w:rsid w:val="009B6849"/>
    <w:rsid w:val="009B6FDD"/>
    <w:rsid w:val="009B770F"/>
    <w:rsid w:val="009B77D6"/>
    <w:rsid w:val="009B7E27"/>
    <w:rsid w:val="009B7E4A"/>
    <w:rsid w:val="009C02E6"/>
    <w:rsid w:val="009C03E8"/>
    <w:rsid w:val="009C0669"/>
    <w:rsid w:val="009C0A1C"/>
    <w:rsid w:val="009C0BBC"/>
    <w:rsid w:val="009C0C59"/>
    <w:rsid w:val="009C0D7C"/>
    <w:rsid w:val="009C15AC"/>
    <w:rsid w:val="009C1F54"/>
    <w:rsid w:val="009C21BA"/>
    <w:rsid w:val="009C21BF"/>
    <w:rsid w:val="009C234A"/>
    <w:rsid w:val="009C2556"/>
    <w:rsid w:val="009C2911"/>
    <w:rsid w:val="009C2B41"/>
    <w:rsid w:val="009C2C2F"/>
    <w:rsid w:val="009C2D79"/>
    <w:rsid w:val="009C2E5D"/>
    <w:rsid w:val="009C34AF"/>
    <w:rsid w:val="009C36EC"/>
    <w:rsid w:val="009C39CA"/>
    <w:rsid w:val="009C39D7"/>
    <w:rsid w:val="009C3CE0"/>
    <w:rsid w:val="009C4D21"/>
    <w:rsid w:val="009C51A4"/>
    <w:rsid w:val="009C551F"/>
    <w:rsid w:val="009C58D4"/>
    <w:rsid w:val="009C5C71"/>
    <w:rsid w:val="009C602B"/>
    <w:rsid w:val="009C62CC"/>
    <w:rsid w:val="009C649E"/>
    <w:rsid w:val="009C64F6"/>
    <w:rsid w:val="009C65D3"/>
    <w:rsid w:val="009C66EC"/>
    <w:rsid w:val="009C6E5F"/>
    <w:rsid w:val="009C7320"/>
    <w:rsid w:val="009C745B"/>
    <w:rsid w:val="009C793F"/>
    <w:rsid w:val="009C7A7F"/>
    <w:rsid w:val="009C7BF0"/>
    <w:rsid w:val="009D034E"/>
    <w:rsid w:val="009D0485"/>
    <w:rsid w:val="009D0C34"/>
    <w:rsid w:val="009D139A"/>
    <w:rsid w:val="009D164B"/>
    <w:rsid w:val="009D16ED"/>
    <w:rsid w:val="009D171F"/>
    <w:rsid w:val="009D176B"/>
    <w:rsid w:val="009D1B23"/>
    <w:rsid w:val="009D2968"/>
    <w:rsid w:val="009D2CD7"/>
    <w:rsid w:val="009D3B03"/>
    <w:rsid w:val="009D416D"/>
    <w:rsid w:val="009D439A"/>
    <w:rsid w:val="009D4ABE"/>
    <w:rsid w:val="009D5495"/>
    <w:rsid w:val="009D570D"/>
    <w:rsid w:val="009D58C3"/>
    <w:rsid w:val="009D5B5C"/>
    <w:rsid w:val="009D5E49"/>
    <w:rsid w:val="009D67BA"/>
    <w:rsid w:val="009D6E49"/>
    <w:rsid w:val="009D718D"/>
    <w:rsid w:val="009D7455"/>
    <w:rsid w:val="009D769A"/>
    <w:rsid w:val="009D7C2E"/>
    <w:rsid w:val="009D7F16"/>
    <w:rsid w:val="009E02F5"/>
    <w:rsid w:val="009E062B"/>
    <w:rsid w:val="009E064C"/>
    <w:rsid w:val="009E0A95"/>
    <w:rsid w:val="009E0C27"/>
    <w:rsid w:val="009E0C41"/>
    <w:rsid w:val="009E0D8B"/>
    <w:rsid w:val="009E11E8"/>
    <w:rsid w:val="009E13AC"/>
    <w:rsid w:val="009E13FE"/>
    <w:rsid w:val="009E2304"/>
    <w:rsid w:val="009E24F8"/>
    <w:rsid w:val="009E276E"/>
    <w:rsid w:val="009E2F8A"/>
    <w:rsid w:val="009E33F3"/>
    <w:rsid w:val="009E3953"/>
    <w:rsid w:val="009E3958"/>
    <w:rsid w:val="009E3A34"/>
    <w:rsid w:val="009E3BE9"/>
    <w:rsid w:val="009E3D4E"/>
    <w:rsid w:val="009E40AF"/>
    <w:rsid w:val="009E4292"/>
    <w:rsid w:val="009E4C9A"/>
    <w:rsid w:val="009E5177"/>
    <w:rsid w:val="009E5719"/>
    <w:rsid w:val="009E578C"/>
    <w:rsid w:val="009E70E3"/>
    <w:rsid w:val="009E74F4"/>
    <w:rsid w:val="009E79C9"/>
    <w:rsid w:val="009E7BA0"/>
    <w:rsid w:val="009F000B"/>
    <w:rsid w:val="009F0A13"/>
    <w:rsid w:val="009F1806"/>
    <w:rsid w:val="009F21FF"/>
    <w:rsid w:val="009F28C3"/>
    <w:rsid w:val="009F28DC"/>
    <w:rsid w:val="009F3185"/>
    <w:rsid w:val="009F35D7"/>
    <w:rsid w:val="009F37E1"/>
    <w:rsid w:val="009F3914"/>
    <w:rsid w:val="009F3A26"/>
    <w:rsid w:val="009F3BDF"/>
    <w:rsid w:val="009F42CC"/>
    <w:rsid w:val="009F4435"/>
    <w:rsid w:val="009F443F"/>
    <w:rsid w:val="009F4812"/>
    <w:rsid w:val="009F4863"/>
    <w:rsid w:val="009F490D"/>
    <w:rsid w:val="009F4B9F"/>
    <w:rsid w:val="009F516C"/>
    <w:rsid w:val="009F544F"/>
    <w:rsid w:val="009F55B9"/>
    <w:rsid w:val="009F58CC"/>
    <w:rsid w:val="009F58CE"/>
    <w:rsid w:val="009F5B80"/>
    <w:rsid w:val="009F5ED2"/>
    <w:rsid w:val="009F603D"/>
    <w:rsid w:val="009F65E2"/>
    <w:rsid w:val="009F6CEB"/>
    <w:rsid w:val="009F7009"/>
    <w:rsid w:val="009F70A9"/>
    <w:rsid w:val="009F70F9"/>
    <w:rsid w:val="009F7B59"/>
    <w:rsid w:val="00A0009F"/>
    <w:rsid w:val="00A009DA"/>
    <w:rsid w:val="00A00DC9"/>
    <w:rsid w:val="00A00E9C"/>
    <w:rsid w:val="00A01053"/>
    <w:rsid w:val="00A015DC"/>
    <w:rsid w:val="00A020E2"/>
    <w:rsid w:val="00A02D79"/>
    <w:rsid w:val="00A0337F"/>
    <w:rsid w:val="00A0380C"/>
    <w:rsid w:val="00A03A87"/>
    <w:rsid w:val="00A0433C"/>
    <w:rsid w:val="00A044F3"/>
    <w:rsid w:val="00A04C02"/>
    <w:rsid w:val="00A04E9A"/>
    <w:rsid w:val="00A04FAA"/>
    <w:rsid w:val="00A05014"/>
    <w:rsid w:val="00A05227"/>
    <w:rsid w:val="00A058E2"/>
    <w:rsid w:val="00A05973"/>
    <w:rsid w:val="00A05A0B"/>
    <w:rsid w:val="00A05AC4"/>
    <w:rsid w:val="00A062CA"/>
    <w:rsid w:val="00A06980"/>
    <w:rsid w:val="00A06FFF"/>
    <w:rsid w:val="00A07027"/>
    <w:rsid w:val="00A07541"/>
    <w:rsid w:val="00A07E26"/>
    <w:rsid w:val="00A10873"/>
    <w:rsid w:val="00A108B0"/>
    <w:rsid w:val="00A10933"/>
    <w:rsid w:val="00A10A68"/>
    <w:rsid w:val="00A1137A"/>
    <w:rsid w:val="00A11782"/>
    <w:rsid w:val="00A11B16"/>
    <w:rsid w:val="00A11F51"/>
    <w:rsid w:val="00A125A3"/>
    <w:rsid w:val="00A12F39"/>
    <w:rsid w:val="00A1338E"/>
    <w:rsid w:val="00A13F80"/>
    <w:rsid w:val="00A143C7"/>
    <w:rsid w:val="00A143E8"/>
    <w:rsid w:val="00A146F8"/>
    <w:rsid w:val="00A14CA7"/>
    <w:rsid w:val="00A14DFE"/>
    <w:rsid w:val="00A14FF8"/>
    <w:rsid w:val="00A15382"/>
    <w:rsid w:val="00A154AE"/>
    <w:rsid w:val="00A155EF"/>
    <w:rsid w:val="00A15AEB"/>
    <w:rsid w:val="00A15D9F"/>
    <w:rsid w:val="00A15F37"/>
    <w:rsid w:val="00A16020"/>
    <w:rsid w:val="00A16164"/>
    <w:rsid w:val="00A162E9"/>
    <w:rsid w:val="00A16743"/>
    <w:rsid w:val="00A16C16"/>
    <w:rsid w:val="00A16CD9"/>
    <w:rsid w:val="00A16DD2"/>
    <w:rsid w:val="00A1710C"/>
    <w:rsid w:val="00A173A5"/>
    <w:rsid w:val="00A17A67"/>
    <w:rsid w:val="00A17AA2"/>
    <w:rsid w:val="00A20023"/>
    <w:rsid w:val="00A20124"/>
    <w:rsid w:val="00A20333"/>
    <w:rsid w:val="00A2047D"/>
    <w:rsid w:val="00A20578"/>
    <w:rsid w:val="00A20773"/>
    <w:rsid w:val="00A21042"/>
    <w:rsid w:val="00A21526"/>
    <w:rsid w:val="00A217D7"/>
    <w:rsid w:val="00A21A89"/>
    <w:rsid w:val="00A21CA6"/>
    <w:rsid w:val="00A22443"/>
    <w:rsid w:val="00A225EF"/>
    <w:rsid w:val="00A22755"/>
    <w:rsid w:val="00A22C8F"/>
    <w:rsid w:val="00A23748"/>
    <w:rsid w:val="00A23B08"/>
    <w:rsid w:val="00A23D88"/>
    <w:rsid w:val="00A23EE2"/>
    <w:rsid w:val="00A24023"/>
    <w:rsid w:val="00A2423A"/>
    <w:rsid w:val="00A2446A"/>
    <w:rsid w:val="00A246C5"/>
    <w:rsid w:val="00A2490D"/>
    <w:rsid w:val="00A24D25"/>
    <w:rsid w:val="00A24EC4"/>
    <w:rsid w:val="00A24F2D"/>
    <w:rsid w:val="00A24F40"/>
    <w:rsid w:val="00A25186"/>
    <w:rsid w:val="00A25296"/>
    <w:rsid w:val="00A256C8"/>
    <w:rsid w:val="00A258F4"/>
    <w:rsid w:val="00A25AA4"/>
    <w:rsid w:val="00A25B96"/>
    <w:rsid w:val="00A26212"/>
    <w:rsid w:val="00A2628D"/>
    <w:rsid w:val="00A26661"/>
    <w:rsid w:val="00A266F7"/>
    <w:rsid w:val="00A26982"/>
    <w:rsid w:val="00A26EF6"/>
    <w:rsid w:val="00A2702A"/>
    <w:rsid w:val="00A27335"/>
    <w:rsid w:val="00A27F00"/>
    <w:rsid w:val="00A30009"/>
    <w:rsid w:val="00A30013"/>
    <w:rsid w:val="00A3165B"/>
    <w:rsid w:val="00A32676"/>
    <w:rsid w:val="00A32B7B"/>
    <w:rsid w:val="00A32CA7"/>
    <w:rsid w:val="00A32D99"/>
    <w:rsid w:val="00A32F6B"/>
    <w:rsid w:val="00A33833"/>
    <w:rsid w:val="00A33B9E"/>
    <w:rsid w:val="00A33D92"/>
    <w:rsid w:val="00A34210"/>
    <w:rsid w:val="00A346C2"/>
    <w:rsid w:val="00A34F85"/>
    <w:rsid w:val="00A3563A"/>
    <w:rsid w:val="00A366A0"/>
    <w:rsid w:val="00A36745"/>
    <w:rsid w:val="00A3697B"/>
    <w:rsid w:val="00A36BCE"/>
    <w:rsid w:val="00A36C30"/>
    <w:rsid w:val="00A36EE6"/>
    <w:rsid w:val="00A37419"/>
    <w:rsid w:val="00A375E2"/>
    <w:rsid w:val="00A37985"/>
    <w:rsid w:val="00A37DC2"/>
    <w:rsid w:val="00A401FB"/>
    <w:rsid w:val="00A40405"/>
    <w:rsid w:val="00A40DB2"/>
    <w:rsid w:val="00A41014"/>
    <w:rsid w:val="00A41071"/>
    <w:rsid w:val="00A42490"/>
    <w:rsid w:val="00A42F0A"/>
    <w:rsid w:val="00A42FD2"/>
    <w:rsid w:val="00A43CC4"/>
    <w:rsid w:val="00A43D44"/>
    <w:rsid w:val="00A4406D"/>
    <w:rsid w:val="00A4430C"/>
    <w:rsid w:val="00A447E1"/>
    <w:rsid w:val="00A44908"/>
    <w:rsid w:val="00A44C9C"/>
    <w:rsid w:val="00A44F3F"/>
    <w:rsid w:val="00A44F6E"/>
    <w:rsid w:val="00A45DB5"/>
    <w:rsid w:val="00A46263"/>
    <w:rsid w:val="00A468C0"/>
    <w:rsid w:val="00A46DF4"/>
    <w:rsid w:val="00A46F0B"/>
    <w:rsid w:val="00A46FAA"/>
    <w:rsid w:val="00A477E7"/>
    <w:rsid w:val="00A479DB"/>
    <w:rsid w:val="00A508D6"/>
    <w:rsid w:val="00A50B80"/>
    <w:rsid w:val="00A50BE8"/>
    <w:rsid w:val="00A50BF6"/>
    <w:rsid w:val="00A50E61"/>
    <w:rsid w:val="00A515C9"/>
    <w:rsid w:val="00A51947"/>
    <w:rsid w:val="00A519FB"/>
    <w:rsid w:val="00A5208B"/>
    <w:rsid w:val="00A52540"/>
    <w:rsid w:val="00A525B6"/>
    <w:rsid w:val="00A52F77"/>
    <w:rsid w:val="00A533AF"/>
    <w:rsid w:val="00A53418"/>
    <w:rsid w:val="00A535C3"/>
    <w:rsid w:val="00A53988"/>
    <w:rsid w:val="00A54245"/>
    <w:rsid w:val="00A543C3"/>
    <w:rsid w:val="00A54494"/>
    <w:rsid w:val="00A54701"/>
    <w:rsid w:val="00A5481C"/>
    <w:rsid w:val="00A548BE"/>
    <w:rsid w:val="00A54E1F"/>
    <w:rsid w:val="00A552FE"/>
    <w:rsid w:val="00A5604A"/>
    <w:rsid w:val="00A56114"/>
    <w:rsid w:val="00A56971"/>
    <w:rsid w:val="00A574DD"/>
    <w:rsid w:val="00A57650"/>
    <w:rsid w:val="00A605E4"/>
    <w:rsid w:val="00A607B9"/>
    <w:rsid w:val="00A60806"/>
    <w:rsid w:val="00A6081A"/>
    <w:rsid w:val="00A61360"/>
    <w:rsid w:val="00A617A1"/>
    <w:rsid w:val="00A61FE2"/>
    <w:rsid w:val="00A6370E"/>
    <w:rsid w:val="00A63933"/>
    <w:rsid w:val="00A6401D"/>
    <w:rsid w:val="00A6402B"/>
    <w:rsid w:val="00A6412B"/>
    <w:rsid w:val="00A642AA"/>
    <w:rsid w:val="00A64A36"/>
    <w:rsid w:val="00A64D80"/>
    <w:rsid w:val="00A65009"/>
    <w:rsid w:val="00A654D2"/>
    <w:rsid w:val="00A6565E"/>
    <w:rsid w:val="00A65F59"/>
    <w:rsid w:val="00A6625A"/>
    <w:rsid w:val="00A663C5"/>
    <w:rsid w:val="00A66D54"/>
    <w:rsid w:val="00A67385"/>
    <w:rsid w:val="00A67B63"/>
    <w:rsid w:val="00A67D41"/>
    <w:rsid w:val="00A67E6E"/>
    <w:rsid w:val="00A707D0"/>
    <w:rsid w:val="00A70D86"/>
    <w:rsid w:val="00A711BC"/>
    <w:rsid w:val="00A718B4"/>
    <w:rsid w:val="00A718E3"/>
    <w:rsid w:val="00A71BF6"/>
    <w:rsid w:val="00A72519"/>
    <w:rsid w:val="00A72706"/>
    <w:rsid w:val="00A728E4"/>
    <w:rsid w:val="00A72A6A"/>
    <w:rsid w:val="00A72A8F"/>
    <w:rsid w:val="00A72C1A"/>
    <w:rsid w:val="00A72C92"/>
    <w:rsid w:val="00A73281"/>
    <w:rsid w:val="00A733F0"/>
    <w:rsid w:val="00A73671"/>
    <w:rsid w:val="00A73B21"/>
    <w:rsid w:val="00A74565"/>
    <w:rsid w:val="00A74DA4"/>
    <w:rsid w:val="00A75206"/>
    <w:rsid w:val="00A75602"/>
    <w:rsid w:val="00A759F1"/>
    <w:rsid w:val="00A75A8C"/>
    <w:rsid w:val="00A75C0D"/>
    <w:rsid w:val="00A75CEC"/>
    <w:rsid w:val="00A75DE3"/>
    <w:rsid w:val="00A75EEE"/>
    <w:rsid w:val="00A76726"/>
    <w:rsid w:val="00A775F0"/>
    <w:rsid w:val="00A77890"/>
    <w:rsid w:val="00A80087"/>
    <w:rsid w:val="00A8044E"/>
    <w:rsid w:val="00A80914"/>
    <w:rsid w:val="00A80CA8"/>
    <w:rsid w:val="00A8117E"/>
    <w:rsid w:val="00A811D3"/>
    <w:rsid w:val="00A81674"/>
    <w:rsid w:val="00A81A50"/>
    <w:rsid w:val="00A81B28"/>
    <w:rsid w:val="00A81E31"/>
    <w:rsid w:val="00A81E8E"/>
    <w:rsid w:val="00A81F29"/>
    <w:rsid w:val="00A820CA"/>
    <w:rsid w:val="00A82491"/>
    <w:rsid w:val="00A8254E"/>
    <w:rsid w:val="00A82646"/>
    <w:rsid w:val="00A82B9E"/>
    <w:rsid w:val="00A82C9D"/>
    <w:rsid w:val="00A8309B"/>
    <w:rsid w:val="00A831CB"/>
    <w:rsid w:val="00A83305"/>
    <w:rsid w:val="00A83AA2"/>
    <w:rsid w:val="00A83E92"/>
    <w:rsid w:val="00A842DF"/>
    <w:rsid w:val="00A84CB0"/>
    <w:rsid w:val="00A84E2D"/>
    <w:rsid w:val="00A84F34"/>
    <w:rsid w:val="00A852CE"/>
    <w:rsid w:val="00A85340"/>
    <w:rsid w:val="00A8599D"/>
    <w:rsid w:val="00A85A51"/>
    <w:rsid w:val="00A86244"/>
    <w:rsid w:val="00A8628B"/>
    <w:rsid w:val="00A86397"/>
    <w:rsid w:val="00A86458"/>
    <w:rsid w:val="00A8686F"/>
    <w:rsid w:val="00A86A9D"/>
    <w:rsid w:val="00A86B20"/>
    <w:rsid w:val="00A86C5B"/>
    <w:rsid w:val="00A870D0"/>
    <w:rsid w:val="00A874D9"/>
    <w:rsid w:val="00A879A6"/>
    <w:rsid w:val="00A87D57"/>
    <w:rsid w:val="00A87FAA"/>
    <w:rsid w:val="00A90422"/>
    <w:rsid w:val="00A9065D"/>
    <w:rsid w:val="00A908B5"/>
    <w:rsid w:val="00A90E47"/>
    <w:rsid w:val="00A90E58"/>
    <w:rsid w:val="00A90EB0"/>
    <w:rsid w:val="00A90ED3"/>
    <w:rsid w:val="00A9101A"/>
    <w:rsid w:val="00A910AE"/>
    <w:rsid w:val="00A91320"/>
    <w:rsid w:val="00A9136E"/>
    <w:rsid w:val="00A91631"/>
    <w:rsid w:val="00A921BB"/>
    <w:rsid w:val="00A92211"/>
    <w:rsid w:val="00A92EDD"/>
    <w:rsid w:val="00A93B68"/>
    <w:rsid w:val="00A93CCA"/>
    <w:rsid w:val="00A9440E"/>
    <w:rsid w:val="00A94424"/>
    <w:rsid w:val="00A945E5"/>
    <w:rsid w:val="00A94953"/>
    <w:rsid w:val="00A94FAA"/>
    <w:rsid w:val="00A94FFF"/>
    <w:rsid w:val="00A9587A"/>
    <w:rsid w:val="00A959D5"/>
    <w:rsid w:val="00A961CD"/>
    <w:rsid w:val="00A96592"/>
    <w:rsid w:val="00A96689"/>
    <w:rsid w:val="00A9673E"/>
    <w:rsid w:val="00A96E39"/>
    <w:rsid w:val="00A96E6A"/>
    <w:rsid w:val="00A97A0B"/>
    <w:rsid w:val="00A97CFC"/>
    <w:rsid w:val="00AA0157"/>
    <w:rsid w:val="00AA0229"/>
    <w:rsid w:val="00AA03C7"/>
    <w:rsid w:val="00AA0564"/>
    <w:rsid w:val="00AA086B"/>
    <w:rsid w:val="00AA0C2E"/>
    <w:rsid w:val="00AA0E49"/>
    <w:rsid w:val="00AA100E"/>
    <w:rsid w:val="00AA11CC"/>
    <w:rsid w:val="00AA1C1F"/>
    <w:rsid w:val="00AA1FB8"/>
    <w:rsid w:val="00AA202D"/>
    <w:rsid w:val="00AA2799"/>
    <w:rsid w:val="00AA313E"/>
    <w:rsid w:val="00AA32B8"/>
    <w:rsid w:val="00AA39AC"/>
    <w:rsid w:val="00AA3B45"/>
    <w:rsid w:val="00AA3C6F"/>
    <w:rsid w:val="00AA3CAC"/>
    <w:rsid w:val="00AA3D14"/>
    <w:rsid w:val="00AA451C"/>
    <w:rsid w:val="00AA50E7"/>
    <w:rsid w:val="00AA56EE"/>
    <w:rsid w:val="00AA58D4"/>
    <w:rsid w:val="00AA5C09"/>
    <w:rsid w:val="00AA60CE"/>
    <w:rsid w:val="00AA6974"/>
    <w:rsid w:val="00AA6B06"/>
    <w:rsid w:val="00AA7012"/>
    <w:rsid w:val="00AA7320"/>
    <w:rsid w:val="00AA7798"/>
    <w:rsid w:val="00AB01D3"/>
    <w:rsid w:val="00AB1194"/>
    <w:rsid w:val="00AB1204"/>
    <w:rsid w:val="00AB13A0"/>
    <w:rsid w:val="00AB1865"/>
    <w:rsid w:val="00AB1A66"/>
    <w:rsid w:val="00AB1EBE"/>
    <w:rsid w:val="00AB1ED5"/>
    <w:rsid w:val="00AB1FEF"/>
    <w:rsid w:val="00AB20DE"/>
    <w:rsid w:val="00AB2461"/>
    <w:rsid w:val="00AB2C74"/>
    <w:rsid w:val="00AB3454"/>
    <w:rsid w:val="00AB346D"/>
    <w:rsid w:val="00AB392D"/>
    <w:rsid w:val="00AB3D2E"/>
    <w:rsid w:val="00AB4344"/>
    <w:rsid w:val="00AB44BD"/>
    <w:rsid w:val="00AB4B81"/>
    <w:rsid w:val="00AB4CF3"/>
    <w:rsid w:val="00AB507B"/>
    <w:rsid w:val="00AB52B2"/>
    <w:rsid w:val="00AB592F"/>
    <w:rsid w:val="00AB5B58"/>
    <w:rsid w:val="00AB5BA7"/>
    <w:rsid w:val="00AB5E67"/>
    <w:rsid w:val="00AB5FE9"/>
    <w:rsid w:val="00AB60FB"/>
    <w:rsid w:val="00AB615F"/>
    <w:rsid w:val="00AB633D"/>
    <w:rsid w:val="00AB6409"/>
    <w:rsid w:val="00AB643E"/>
    <w:rsid w:val="00AB68DE"/>
    <w:rsid w:val="00AB69AA"/>
    <w:rsid w:val="00AB6A29"/>
    <w:rsid w:val="00AB738D"/>
    <w:rsid w:val="00AB74C7"/>
    <w:rsid w:val="00AB759A"/>
    <w:rsid w:val="00AB7BA2"/>
    <w:rsid w:val="00AB7BC7"/>
    <w:rsid w:val="00AB7E78"/>
    <w:rsid w:val="00AC0121"/>
    <w:rsid w:val="00AC01BC"/>
    <w:rsid w:val="00AC1202"/>
    <w:rsid w:val="00AC1506"/>
    <w:rsid w:val="00AC1600"/>
    <w:rsid w:val="00AC2094"/>
    <w:rsid w:val="00AC21E4"/>
    <w:rsid w:val="00AC237D"/>
    <w:rsid w:val="00AC251C"/>
    <w:rsid w:val="00AC2639"/>
    <w:rsid w:val="00AC264F"/>
    <w:rsid w:val="00AC2B24"/>
    <w:rsid w:val="00AC2EA5"/>
    <w:rsid w:val="00AC3849"/>
    <w:rsid w:val="00AC39A5"/>
    <w:rsid w:val="00AC3C92"/>
    <w:rsid w:val="00AC3D3F"/>
    <w:rsid w:val="00AC45C7"/>
    <w:rsid w:val="00AC4841"/>
    <w:rsid w:val="00AC4AF5"/>
    <w:rsid w:val="00AC4B9A"/>
    <w:rsid w:val="00AC4FCD"/>
    <w:rsid w:val="00AC542B"/>
    <w:rsid w:val="00AC5874"/>
    <w:rsid w:val="00AC644D"/>
    <w:rsid w:val="00AC6899"/>
    <w:rsid w:val="00AC6B37"/>
    <w:rsid w:val="00AC6DE0"/>
    <w:rsid w:val="00AC6E57"/>
    <w:rsid w:val="00AC72E8"/>
    <w:rsid w:val="00AC770F"/>
    <w:rsid w:val="00AC7FAB"/>
    <w:rsid w:val="00AD0026"/>
    <w:rsid w:val="00AD0082"/>
    <w:rsid w:val="00AD067F"/>
    <w:rsid w:val="00AD0744"/>
    <w:rsid w:val="00AD0810"/>
    <w:rsid w:val="00AD0BD9"/>
    <w:rsid w:val="00AD0C8D"/>
    <w:rsid w:val="00AD0F27"/>
    <w:rsid w:val="00AD0F35"/>
    <w:rsid w:val="00AD1678"/>
    <w:rsid w:val="00AD18BE"/>
    <w:rsid w:val="00AD1C48"/>
    <w:rsid w:val="00AD2383"/>
    <w:rsid w:val="00AD33D4"/>
    <w:rsid w:val="00AD3654"/>
    <w:rsid w:val="00AD37E5"/>
    <w:rsid w:val="00AD3E48"/>
    <w:rsid w:val="00AD458F"/>
    <w:rsid w:val="00AD4719"/>
    <w:rsid w:val="00AD4A33"/>
    <w:rsid w:val="00AD4CB1"/>
    <w:rsid w:val="00AD4D6D"/>
    <w:rsid w:val="00AD543B"/>
    <w:rsid w:val="00AD56C2"/>
    <w:rsid w:val="00AD5782"/>
    <w:rsid w:val="00AD5BB4"/>
    <w:rsid w:val="00AD5BDA"/>
    <w:rsid w:val="00AD6572"/>
    <w:rsid w:val="00AD695C"/>
    <w:rsid w:val="00AD6AF1"/>
    <w:rsid w:val="00AD6E9A"/>
    <w:rsid w:val="00AD6F7E"/>
    <w:rsid w:val="00AD7B47"/>
    <w:rsid w:val="00AE00A2"/>
    <w:rsid w:val="00AE01B4"/>
    <w:rsid w:val="00AE0C56"/>
    <w:rsid w:val="00AE0DA4"/>
    <w:rsid w:val="00AE1BDC"/>
    <w:rsid w:val="00AE26E7"/>
    <w:rsid w:val="00AE2A0F"/>
    <w:rsid w:val="00AE2F2F"/>
    <w:rsid w:val="00AE315C"/>
    <w:rsid w:val="00AE317C"/>
    <w:rsid w:val="00AE323F"/>
    <w:rsid w:val="00AE341B"/>
    <w:rsid w:val="00AE348C"/>
    <w:rsid w:val="00AE37AD"/>
    <w:rsid w:val="00AE3BB3"/>
    <w:rsid w:val="00AE440E"/>
    <w:rsid w:val="00AE476B"/>
    <w:rsid w:val="00AE4872"/>
    <w:rsid w:val="00AE49D5"/>
    <w:rsid w:val="00AE4C2A"/>
    <w:rsid w:val="00AE57B2"/>
    <w:rsid w:val="00AE611B"/>
    <w:rsid w:val="00AE62F4"/>
    <w:rsid w:val="00AE6502"/>
    <w:rsid w:val="00AE6569"/>
    <w:rsid w:val="00AE65C5"/>
    <w:rsid w:val="00AE6A6E"/>
    <w:rsid w:val="00AE6F9D"/>
    <w:rsid w:val="00AE6FB2"/>
    <w:rsid w:val="00AE77BD"/>
    <w:rsid w:val="00AE7BCF"/>
    <w:rsid w:val="00AF0AF4"/>
    <w:rsid w:val="00AF0F86"/>
    <w:rsid w:val="00AF1052"/>
    <w:rsid w:val="00AF19F3"/>
    <w:rsid w:val="00AF1B1C"/>
    <w:rsid w:val="00AF1F85"/>
    <w:rsid w:val="00AF231A"/>
    <w:rsid w:val="00AF2546"/>
    <w:rsid w:val="00AF2B4E"/>
    <w:rsid w:val="00AF35F4"/>
    <w:rsid w:val="00AF3DBB"/>
    <w:rsid w:val="00AF4099"/>
    <w:rsid w:val="00AF443B"/>
    <w:rsid w:val="00AF4618"/>
    <w:rsid w:val="00AF4AE7"/>
    <w:rsid w:val="00AF4F3E"/>
    <w:rsid w:val="00AF52B1"/>
    <w:rsid w:val="00AF5A1F"/>
    <w:rsid w:val="00AF60CF"/>
    <w:rsid w:val="00AF6229"/>
    <w:rsid w:val="00AF6318"/>
    <w:rsid w:val="00AF6475"/>
    <w:rsid w:val="00AF65D0"/>
    <w:rsid w:val="00AF6693"/>
    <w:rsid w:val="00AF685C"/>
    <w:rsid w:val="00AF6DE8"/>
    <w:rsid w:val="00AF70E9"/>
    <w:rsid w:val="00AF72E5"/>
    <w:rsid w:val="00AF73A2"/>
    <w:rsid w:val="00AF75E5"/>
    <w:rsid w:val="00AF7CC4"/>
    <w:rsid w:val="00B0063E"/>
    <w:rsid w:val="00B007DB"/>
    <w:rsid w:val="00B00B62"/>
    <w:rsid w:val="00B00DAC"/>
    <w:rsid w:val="00B00DF5"/>
    <w:rsid w:val="00B00F63"/>
    <w:rsid w:val="00B01310"/>
    <w:rsid w:val="00B01C6B"/>
    <w:rsid w:val="00B02141"/>
    <w:rsid w:val="00B022AF"/>
    <w:rsid w:val="00B033D0"/>
    <w:rsid w:val="00B03AE5"/>
    <w:rsid w:val="00B03DCD"/>
    <w:rsid w:val="00B03E0B"/>
    <w:rsid w:val="00B045A9"/>
    <w:rsid w:val="00B045D6"/>
    <w:rsid w:val="00B04E3B"/>
    <w:rsid w:val="00B05015"/>
    <w:rsid w:val="00B054C6"/>
    <w:rsid w:val="00B0551C"/>
    <w:rsid w:val="00B05EEE"/>
    <w:rsid w:val="00B05F30"/>
    <w:rsid w:val="00B06394"/>
    <w:rsid w:val="00B06A1B"/>
    <w:rsid w:val="00B0755C"/>
    <w:rsid w:val="00B076C5"/>
    <w:rsid w:val="00B07EAE"/>
    <w:rsid w:val="00B1064F"/>
    <w:rsid w:val="00B1077D"/>
    <w:rsid w:val="00B10811"/>
    <w:rsid w:val="00B10B7E"/>
    <w:rsid w:val="00B11423"/>
    <w:rsid w:val="00B11841"/>
    <w:rsid w:val="00B11BD0"/>
    <w:rsid w:val="00B11D91"/>
    <w:rsid w:val="00B120F9"/>
    <w:rsid w:val="00B12360"/>
    <w:rsid w:val="00B12D75"/>
    <w:rsid w:val="00B13E18"/>
    <w:rsid w:val="00B13E3A"/>
    <w:rsid w:val="00B14537"/>
    <w:rsid w:val="00B1471D"/>
    <w:rsid w:val="00B1474E"/>
    <w:rsid w:val="00B1487F"/>
    <w:rsid w:val="00B14BAC"/>
    <w:rsid w:val="00B15319"/>
    <w:rsid w:val="00B1586D"/>
    <w:rsid w:val="00B15F79"/>
    <w:rsid w:val="00B1620D"/>
    <w:rsid w:val="00B17327"/>
    <w:rsid w:val="00B201D3"/>
    <w:rsid w:val="00B203E6"/>
    <w:rsid w:val="00B2049A"/>
    <w:rsid w:val="00B204A5"/>
    <w:rsid w:val="00B20722"/>
    <w:rsid w:val="00B2083B"/>
    <w:rsid w:val="00B20F9F"/>
    <w:rsid w:val="00B21A3A"/>
    <w:rsid w:val="00B21B02"/>
    <w:rsid w:val="00B21B4C"/>
    <w:rsid w:val="00B21CD4"/>
    <w:rsid w:val="00B21F41"/>
    <w:rsid w:val="00B2217D"/>
    <w:rsid w:val="00B2225A"/>
    <w:rsid w:val="00B225AB"/>
    <w:rsid w:val="00B2287F"/>
    <w:rsid w:val="00B23003"/>
    <w:rsid w:val="00B23535"/>
    <w:rsid w:val="00B2381E"/>
    <w:rsid w:val="00B2395D"/>
    <w:rsid w:val="00B23A84"/>
    <w:rsid w:val="00B23FF2"/>
    <w:rsid w:val="00B24748"/>
    <w:rsid w:val="00B252E6"/>
    <w:rsid w:val="00B25CC2"/>
    <w:rsid w:val="00B25D5E"/>
    <w:rsid w:val="00B26057"/>
    <w:rsid w:val="00B26076"/>
    <w:rsid w:val="00B2616C"/>
    <w:rsid w:val="00B26189"/>
    <w:rsid w:val="00B2618E"/>
    <w:rsid w:val="00B261A0"/>
    <w:rsid w:val="00B26275"/>
    <w:rsid w:val="00B26763"/>
    <w:rsid w:val="00B267B0"/>
    <w:rsid w:val="00B273DB"/>
    <w:rsid w:val="00B2756A"/>
    <w:rsid w:val="00B275C8"/>
    <w:rsid w:val="00B27640"/>
    <w:rsid w:val="00B27BC7"/>
    <w:rsid w:val="00B30207"/>
    <w:rsid w:val="00B304F3"/>
    <w:rsid w:val="00B307FC"/>
    <w:rsid w:val="00B3093D"/>
    <w:rsid w:val="00B30A97"/>
    <w:rsid w:val="00B30B61"/>
    <w:rsid w:val="00B30BE1"/>
    <w:rsid w:val="00B30DE5"/>
    <w:rsid w:val="00B30F49"/>
    <w:rsid w:val="00B30FA2"/>
    <w:rsid w:val="00B311F7"/>
    <w:rsid w:val="00B31327"/>
    <w:rsid w:val="00B31A53"/>
    <w:rsid w:val="00B32064"/>
    <w:rsid w:val="00B32148"/>
    <w:rsid w:val="00B32292"/>
    <w:rsid w:val="00B3292C"/>
    <w:rsid w:val="00B329E6"/>
    <w:rsid w:val="00B32B21"/>
    <w:rsid w:val="00B331CD"/>
    <w:rsid w:val="00B335A3"/>
    <w:rsid w:val="00B33873"/>
    <w:rsid w:val="00B33B21"/>
    <w:rsid w:val="00B34982"/>
    <w:rsid w:val="00B34AC2"/>
    <w:rsid w:val="00B354A7"/>
    <w:rsid w:val="00B354FB"/>
    <w:rsid w:val="00B359C7"/>
    <w:rsid w:val="00B35B3A"/>
    <w:rsid w:val="00B3605C"/>
    <w:rsid w:val="00B36611"/>
    <w:rsid w:val="00B3710D"/>
    <w:rsid w:val="00B37BF1"/>
    <w:rsid w:val="00B37FD3"/>
    <w:rsid w:val="00B4032C"/>
    <w:rsid w:val="00B40FD8"/>
    <w:rsid w:val="00B4230B"/>
    <w:rsid w:val="00B42371"/>
    <w:rsid w:val="00B423AD"/>
    <w:rsid w:val="00B4274D"/>
    <w:rsid w:val="00B43198"/>
    <w:rsid w:val="00B435E7"/>
    <w:rsid w:val="00B437F9"/>
    <w:rsid w:val="00B4394B"/>
    <w:rsid w:val="00B43CB7"/>
    <w:rsid w:val="00B444E7"/>
    <w:rsid w:val="00B445A4"/>
    <w:rsid w:val="00B4474E"/>
    <w:rsid w:val="00B44801"/>
    <w:rsid w:val="00B44835"/>
    <w:rsid w:val="00B45229"/>
    <w:rsid w:val="00B4537E"/>
    <w:rsid w:val="00B456E1"/>
    <w:rsid w:val="00B457C3"/>
    <w:rsid w:val="00B4586F"/>
    <w:rsid w:val="00B459F6"/>
    <w:rsid w:val="00B45A0C"/>
    <w:rsid w:val="00B45DB9"/>
    <w:rsid w:val="00B4629B"/>
    <w:rsid w:val="00B46A75"/>
    <w:rsid w:val="00B46FFB"/>
    <w:rsid w:val="00B47047"/>
    <w:rsid w:val="00B47360"/>
    <w:rsid w:val="00B4749A"/>
    <w:rsid w:val="00B474DB"/>
    <w:rsid w:val="00B475B6"/>
    <w:rsid w:val="00B47610"/>
    <w:rsid w:val="00B47FC4"/>
    <w:rsid w:val="00B501FD"/>
    <w:rsid w:val="00B5047C"/>
    <w:rsid w:val="00B50681"/>
    <w:rsid w:val="00B50AF5"/>
    <w:rsid w:val="00B50D09"/>
    <w:rsid w:val="00B50E45"/>
    <w:rsid w:val="00B50FE6"/>
    <w:rsid w:val="00B51371"/>
    <w:rsid w:val="00B5147F"/>
    <w:rsid w:val="00B51AEA"/>
    <w:rsid w:val="00B51DF4"/>
    <w:rsid w:val="00B51EB8"/>
    <w:rsid w:val="00B53097"/>
    <w:rsid w:val="00B533AA"/>
    <w:rsid w:val="00B53789"/>
    <w:rsid w:val="00B539B4"/>
    <w:rsid w:val="00B539CF"/>
    <w:rsid w:val="00B542CF"/>
    <w:rsid w:val="00B54633"/>
    <w:rsid w:val="00B548D0"/>
    <w:rsid w:val="00B5492C"/>
    <w:rsid w:val="00B54F3D"/>
    <w:rsid w:val="00B554CE"/>
    <w:rsid w:val="00B55A0E"/>
    <w:rsid w:val="00B561F0"/>
    <w:rsid w:val="00B56282"/>
    <w:rsid w:val="00B569C3"/>
    <w:rsid w:val="00B569E9"/>
    <w:rsid w:val="00B571C1"/>
    <w:rsid w:val="00B572FE"/>
    <w:rsid w:val="00B57421"/>
    <w:rsid w:val="00B5786B"/>
    <w:rsid w:val="00B57C32"/>
    <w:rsid w:val="00B57C42"/>
    <w:rsid w:val="00B605B9"/>
    <w:rsid w:val="00B60CC7"/>
    <w:rsid w:val="00B60F4A"/>
    <w:rsid w:val="00B61259"/>
    <w:rsid w:val="00B61400"/>
    <w:rsid w:val="00B616D7"/>
    <w:rsid w:val="00B6190D"/>
    <w:rsid w:val="00B61A9E"/>
    <w:rsid w:val="00B61BC9"/>
    <w:rsid w:val="00B62A28"/>
    <w:rsid w:val="00B62B31"/>
    <w:rsid w:val="00B62C29"/>
    <w:rsid w:val="00B62C35"/>
    <w:rsid w:val="00B639B6"/>
    <w:rsid w:val="00B63ED8"/>
    <w:rsid w:val="00B645A9"/>
    <w:rsid w:val="00B64C68"/>
    <w:rsid w:val="00B6508B"/>
    <w:rsid w:val="00B650EF"/>
    <w:rsid w:val="00B65445"/>
    <w:rsid w:val="00B6552C"/>
    <w:rsid w:val="00B65661"/>
    <w:rsid w:val="00B6589C"/>
    <w:rsid w:val="00B65AEC"/>
    <w:rsid w:val="00B65D72"/>
    <w:rsid w:val="00B65F5E"/>
    <w:rsid w:val="00B66490"/>
    <w:rsid w:val="00B6675F"/>
    <w:rsid w:val="00B66BA5"/>
    <w:rsid w:val="00B67807"/>
    <w:rsid w:val="00B67B8F"/>
    <w:rsid w:val="00B70774"/>
    <w:rsid w:val="00B70A98"/>
    <w:rsid w:val="00B70AFB"/>
    <w:rsid w:val="00B70B3E"/>
    <w:rsid w:val="00B718AF"/>
    <w:rsid w:val="00B71D75"/>
    <w:rsid w:val="00B7235D"/>
    <w:rsid w:val="00B72572"/>
    <w:rsid w:val="00B728A0"/>
    <w:rsid w:val="00B72C21"/>
    <w:rsid w:val="00B73063"/>
    <w:rsid w:val="00B7315B"/>
    <w:rsid w:val="00B7343B"/>
    <w:rsid w:val="00B73735"/>
    <w:rsid w:val="00B73FF2"/>
    <w:rsid w:val="00B7404E"/>
    <w:rsid w:val="00B74A48"/>
    <w:rsid w:val="00B7503C"/>
    <w:rsid w:val="00B75448"/>
    <w:rsid w:val="00B754A9"/>
    <w:rsid w:val="00B75DDB"/>
    <w:rsid w:val="00B75E04"/>
    <w:rsid w:val="00B761F0"/>
    <w:rsid w:val="00B76273"/>
    <w:rsid w:val="00B7684C"/>
    <w:rsid w:val="00B77098"/>
    <w:rsid w:val="00B77939"/>
    <w:rsid w:val="00B7796D"/>
    <w:rsid w:val="00B77BF9"/>
    <w:rsid w:val="00B77F00"/>
    <w:rsid w:val="00B801A1"/>
    <w:rsid w:val="00B801E8"/>
    <w:rsid w:val="00B808CA"/>
    <w:rsid w:val="00B80A81"/>
    <w:rsid w:val="00B80B05"/>
    <w:rsid w:val="00B80B99"/>
    <w:rsid w:val="00B80C6F"/>
    <w:rsid w:val="00B80D0E"/>
    <w:rsid w:val="00B80F06"/>
    <w:rsid w:val="00B81325"/>
    <w:rsid w:val="00B81340"/>
    <w:rsid w:val="00B813BB"/>
    <w:rsid w:val="00B816CB"/>
    <w:rsid w:val="00B818EB"/>
    <w:rsid w:val="00B819EA"/>
    <w:rsid w:val="00B81CCA"/>
    <w:rsid w:val="00B81EC5"/>
    <w:rsid w:val="00B82678"/>
    <w:rsid w:val="00B8289F"/>
    <w:rsid w:val="00B83023"/>
    <w:rsid w:val="00B836A3"/>
    <w:rsid w:val="00B836D3"/>
    <w:rsid w:val="00B837DC"/>
    <w:rsid w:val="00B843EB"/>
    <w:rsid w:val="00B844C0"/>
    <w:rsid w:val="00B8488B"/>
    <w:rsid w:val="00B84B3B"/>
    <w:rsid w:val="00B84B90"/>
    <w:rsid w:val="00B85683"/>
    <w:rsid w:val="00B85DD9"/>
    <w:rsid w:val="00B86435"/>
    <w:rsid w:val="00B86715"/>
    <w:rsid w:val="00B86A34"/>
    <w:rsid w:val="00B86B82"/>
    <w:rsid w:val="00B878C2"/>
    <w:rsid w:val="00B87EA0"/>
    <w:rsid w:val="00B90098"/>
    <w:rsid w:val="00B900CA"/>
    <w:rsid w:val="00B900D1"/>
    <w:rsid w:val="00B90182"/>
    <w:rsid w:val="00B90334"/>
    <w:rsid w:val="00B90F3E"/>
    <w:rsid w:val="00B9210D"/>
    <w:rsid w:val="00B927A9"/>
    <w:rsid w:val="00B929A3"/>
    <w:rsid w:val="00B92D5E"/>
    <w:rsid w:val="00B92DBE"/>
    <w:rsid w:val="00B930FA"/>
    <w:rsid w:val="00B935B5"/>
    <w:rsid w:val="00B93890"/>
    <w:rsid w:val="00B93B3C"/>
    <w:rsid w:val="00B9414A"/>
    <w:rsid w:val="00B942CD"/>
    <w:rsid w:val="00B944A2"/>
    <w:rsid w:val="00B94651"/>
    <w:rsid w:val="00B946D0"/>
    <w:rsid w:val="00B94A7D"/>
    <w:rsid w:val="00B94AEE"/>
    <w:rsid w:val="00B955D9"/>
    <w:rsid w:val="00B95A4A"/>
    <w:rsid w:val="00B95D11"/>
    <w:rsid w:val="00B96453"/>
    <w:rsid w:val="00B96978"/>
    <w:rsid w:val="00B97246"/>
    <w:rsid w:val="00B977DB"/>
    <w:rsid w:val="00B97FF7"/>
    <w:rsid w:val="00BA06FB"/>
    <w:rsid w:val="00BA0836"/>
    <w:rsid w:val="00BA08B3"/>
    <w:rsid w:val="00BA0932"/>
    <w:rsid w:val="00BA095F"/>
    <w:rsid w:val="00BA0B0A"/>
    <w:rsid w:val="00BA0E4E"/>
    <w:rsid w:val="00BA0E58"/>
    <w:rsid w:val="00BA0F9B"/>
    <w:rsid w:val="00BA11AD"/>
    <w:rsid w:val="00BA132E"/>
    <w:rsid w:val="00BA1595"/>
    <w:rsid w:val="00BA17F5"/>
    <w:rsid w:val="00BA1BA6"/>
    <w:rsid w:val="00BA1D27"/>
    <w:rsid w:val="00BA261B"/>
    <w:rsid w:val="00BA26D9"/>
    <w:rsid w:val="00BA2B8E"/>
    <w:rsid w:val="00BA3021"/>
    <w:rsid w:val="00BA39CA"/>
    <w:rsid w:val="00BA3A5B"/>
    <w:rsid w:val="00BA3B1A"/>
    <w:rsid w:val="00BA3C08"/>
    <w:rsid w:val="00BA3EF6"/>
    <w:rsid w:val="00BA4D58"/>
    <w:rsid w:val="00BA51FA"/>
    <w:rsid w:val="00BA52A7"/>
    <w:rsid w:val="00BA52E3"/>
    <w:rsid w:val="00BA54F8"/>
    <w:rsid w:val="00BA57FB"/>
    <w:rsid w:val="00BA5CA8"/>
    <w:rsid w:val="00BA626D"/>
    <w:rsid w:val="00BA6BAC"/>
    <w:rsid w:val="00BA6DC7"/>
    <w:rsid w:val="00BA7217"/>
    <w:rsid w:val="00BA73CD"/>
    <w:rsid w:val="00BA74FA"/>
    <w:rsid w:val="00BA7A2D"/>
    <w:rsid w:val="00BA7E36"/>
    <w:rsid w:val="00BB0B76"/>
    <w:rsid w:val="00BB0EF5"/>
    <w:rsid w:val="00BB0FD6"/>
    <w:rsid w:val="00BB1915"/>
    <w:rsid w:val="00BB19AB"/>
    <w:rsid w:val="00BB2073"/>
    <w:rsid w:val="00BB2909"/>
    <w:rsid w:val="00BB2A16"/>
    <w:rsid w:val="00BB2D18"/>
    <w:rsid w:val="00BB2D75"/>
    <w:rsid w:val="00BB2F58"/>
    <w:rsid w:val="00BB2F7C"/>
    <w:rsid w:val="00BB2FC0"/>
    <w:rsid w:val="00BB3169"/>
    <w:rsid w:val="00BB33B7"/>
    <w:rsid w:val="00BB354E"/>
    <w:rsid w:val="00BB3A21"/>
    <w:rsid w:val="00BB3A65"/>
    <w:rsid w:val="00BB3EFE"/>
    <w:rsid w:val="00BB4E3B"/>
    <w:rsid w:val="00BB517A"/>
    <w:rsid w:val="00BB52E4"/>
    <w:rsid w:val="00BB55F5"/>
    <w:rsid w:val="00BB5924"/>
    <w:rsid w:val="00BB5978"/>
    <w:rsid w:val="00BB5A84"/>
    <w:rsid w:val="00BB62E1"/>
    <w:rsid w:val="00BB6549"/>
    <w:rsid w:val="00BB65B7"/>
    <w:rsid w:val="00BB6B4F"/>
    <w:rsid w:val="00BB6C4F"/>
    <w:rsid w:val="00BB6D58"/>
    <w:rsid w:val="00BB6EA4"/>
    <w:rsid w:val="00BB736B"/>
    <w:rsid w:val="00BC01B9"/>
    <w:rsid w:val="00BC0DCB"/>
    <w:rsid w:val="00BC11A1"/>
    <w:rsid w:val="00BC1446"/>
    <w:rsid w:val="00BC211C"/>
    <w:rsid w:val="00BC24B8"/>
    <w:rsid w:val="00BC279C"/>
    <w:rsid w:val="00BC2831"/>
    <w:rsid w:val="00BC30DF"/>
    <w:rsid w:val="00BC34C0"/>
    <w:rsid w:val="00BC35D8"/>
    <w:rsid w:val="00BC3625"/>
    <w:rsid w:val="00BC3BF7"/>
    <w:rsid w:val="00BC3F27"/>
    <w:rsid w:val="00BC4210"/>
    <w:rsid w:val="00BC44D5"/>
    <w:rsid w:val="00BC46C6"/>
    <w:rsid w:val="00BC473A"/>
    <w:rsid w:val="00BC4811"/>
    <w:rsid w:val="00BC48EA"/>
    <w:rsid w:val="00BC492F"/>
    <w:rsid w:val="00BC4A2E"/>
    <w:rsid w:val="00BC50A6"/>
    <w:rsid w:val="00BC50CA"/>
    <w:rsid w:val="00BC5A3C"/>
    <w:rsid w:val="00BC5C19"/>
    <w:rsid w:val="00BC5E5F"/>
    <w:rsid w:val="00BC655D"/>
    <w:rsid w:val="00BC678D"/>
    <w:rsid w:val="00BC684A"/>
    <w:rsid w:val="00BC697A"/>
    <w:rsid w:val="00BC6990"/>
    <w:rsid w:val="00BC69D8"/>
    <w:rsid w:val="00BC6C89"/>
    <w:rsid w:val="00BC6F93"/>
    <w:rsid w:val="00BC7248"/>
    <w:rsid w:val="00BC7356"/>
    <w:rsid w:val="00BC79CB"/>
    <w:rsid w:val="00BC7A77"/>
    <w:rsid w:val="00BC7A9E"/>
    <w:rsid w:val="00BC7D21"/>
    <w:rsid w:val="00BD029F"/>
    <w:rsid w:val="00BD0408"/>
    <w:rsid w:val="00BD0619"/>
    <w:rsid w:val="00BD0629"/>
    <w:rsid w:val="00BD0642"/>
    <w:rsid w:val="00BD06BE"/>
    <w:rsid w:val="00BD0BF7"/>
    <w:rsid w:val="00BD0C96"/>
    <w:rsid w:val="00BD0FE2"/>
    <w:rsid w:val="00BD1875"/>
    <w:rsid w:val="00BD1C5B"/>
    <w:rsid w:val="00BD202A"/>
    <w:rsid w:val="00BD22B9"/>
    <w:rsid w:val="00BD232B"/>
    <w:rsid w:val="00BD2FF4"/>
    <w:rsid w:val="00BD3B25"/>
    <w:rsid w:val="00BD3EC8"/>
    <w:rsid w:val="00BD3FCD"/>
    <w:rsid w:val="00BD40BC"/>
    <w:rsid w:val="00BD41C1"/>
    <w:rsid w:val="00BD424D"/>
    <w:rsid w:val="00BD49E7"/>
    <w:rsid w:val="00BD4A5D"/>
    <w:rsid w:val="00BD4A9C"/>
    <w:rsid w:val="00BD4CB4"/>
    <w:rsid w:val="00BD4D7B"/>
    <w:rsid w:val="00BD54E7"/>
    <w:rsid w:val="00BD56B6"/>
    <w:rsid w:val="00BD5855"/>
    <w:rsid w:val="00BD5968"/>
    <w:rsid w:val="00BD6408"/>
    <w:rsid w:val="00BD6585"/>
    <w:rsid w:val="00BD69EB"/>
    <w:rsid w:val="00BD7007"/>
    <w:rsid w:val="00BD71DC"/>
    <w:rsid w:val="00BD770E"/>
    <w:rsid w:val="00BD7AB2"/>
    <w:rsid w:val="00BD7B07"/>
    <w:rsid w:val="00BE0DFC"/>
    <w:rsid w:val="00BE0E6E"/>
    <w:rsid w:val="00BE1051"/>
    <w:rsid w:val="00BE1183"/>
    <w:rsid w:val="00BE13F9"/>
    <w:rsid w:val="00BE1836"/>
    <w:rsid w:val="00BE18ED"/>
    <w:rsid w:val="00BE19BC"/>
    <w:rsid w:val="00BE1C37"/>
    <w:rsid w:val="00BE1D53"/>
    <w:rsid w:val="00BE1DD1"/>
    <w:rsid w:val="00BE1DD4"/>
    <w:rsid w:val="00BE1F62"/>
    <w:rsid w:val="00BE2746"/>
    <w:rsid w:val="00BE2FB4"/>
    <w:rsid w:val="00BE31ED"/>
    <w:rsid w:val="00BE35B2"/>
    <w:rsid w:val="00BE3913"/>
    <w:rsid w:val="00BE447D"/>
    <w:rsid w:val="00BE497E"/>
    <w:rsid w:val="00BE4D4F"/>
    <w:rsid w:val="00BE546F"/>
    <w:rsid w:val="00BE56C3"/>
    <w:rsid w:val="00BE5FA5"/>
    <w:rsid w:val="00BE628A"/>
    <w:rsid w:val="00BE6C14"/>
    <w:rsid w:val="00BE6CF6"/>
    <w:rsid w:val="00BE6DB8"/>
    <w:rsid w:val="00BE6FA8"/>
    <w:rsid w:val="00BE749B"/>
    <w:rsid w:val="00BE7C94"/>
    <w:rsid w:val="00BE7FCD"/>
    <w:rsid w:val="00BF005B"/>
    <w:rsid w:val="00BF04D6"/>
    <w:rsid w:val="00BF0B70"/>
    <w:rsid w:val="00BF1308"/>
    <w:rsid w:val="00BF1A44"/>
    <w:rsid w:val="00BF1F37"/>
    <w:rsid w:val="00BF20BE"/>
    <w:rsid w:val="00BF20CD"/>
    <w:rsid w:val="00BF230D"/>
    <w:rsid w:val="00BF25BD"/>
    <w:rsid w:val="00BF268E"/>
    <w:rsid w:val="00BF28C6"/>
    <w:rsid w:val="00BF3722"/>
    <w:rsid w:val="00BF3987"/>
    <w:rsid w:val="00BF4629"/>
    <w:rsid w:val="00BF535C"/>
    <w:rsid w:val="00BF5954"/>
    <w:rsid w:val="00BF59C7"/>
    <w:rsid w:val="00BF62B1"/>
    <w:rsid w:val="00BF6637"/>
    <w:rsid w:val="00BF6A62"/>
    <w:rsid w:val="00BF7A61"/>
    <w:rsid w:val="00C0018F"/>
    <w:rsid w:val="00C00830"/>
    <w:rsid w:val="00C01155"/>
    <w:rsid w:val="00C02802"/>
    <w:rsid w:val="00C02BB7"/>
    <w:rsid w:val="00C02E8E"/>
    <w:rsid w:val="00C03328"/>
    <w:rsid w:val="00C03386"/>
    <w:rsid w:val="00C038C4"/>
    <w:rsid w:val="00C03C42"/>
    <w:rsid w:val="00C03F60"/>
    <w:rsid w:val="00C042F1"/>
    <w:rsid w:val="00C04701"/>
    <w:rsid w:val="00C0486A"/>
    <w:rsid w:val="00C049C8"/>
    <w:rsid w:val="00C05201"/>
    <w:rsid w:val="00C0561E"/>
    <w:rsid w:val="00C057CC"/>
    <w:rsid w:val="00C05A7C"/>
    <w:rsid w:val="00C05F8B"/>
    <w:rsid w:val="00C060A4"/>
    <w:rsid w:val="00C06546"/>
    <w:rsid w:val="00C06869"/>
    <w:rsid w:val="00C06BAA"/>
    <w:rsid w:val="00C06F54"/>
    <w:rsid w:val="00C10517"/>
    <w:rsid w:val="00C105CA"/>
    <w:rsid w:val="00C106F4"/>
    <w:rsid w:val="00C110C3"/>
    <w:rsid w:val="00C114C0"/>
    <w:rsid w:val="00C11500"/>
    <w:rsid w:val="00C11713"/>
    <w:rsid w:val="00C11866"/>
    <w:rsid w:val="00C11E8C"/>
    <w:rsid w:val="00C11FC3"/>
    <w:rsid w:val="00C120B0"/>
    <w:rsid w:val="00C1283B"/>
    <w:rsid w:val="00C12990"/>
    <w:rsid w:val="00C129AD"/>
    <w:rsid w:val="00C12DB6"/>
    <w:rsid w:val="00C135BD"/>
    <w:rsid w:val="00C13640"/>
    <w:rsid w:val="00C1369C"/>
    <w:rsid w:val="00C139AC"/>
    <w:rsid w:val="00C13BB9"/>
    <w:rsid w:val="00C13CEF"/>
    <w:rsid w:val="00C1422B"/>
    <w:rsid w:val="00C14B5E"/>
    <w:rsid w:val="00C14BDC"/>
    <w:rsid w:val="00C14D74"/>
    <w:rsid w:val="00C14E7E"/>
    <w:rsid w:val="00C153E0"/>
    <w:rsid w:val="00C15493"/>
    <w:rsid w:val="00C15E54"/>
    <w:rsid w:val="00C16594"/>
    <w:rsid w:val="00C1692E"/>
    <w:rsid w:val="00C16A23"/>
    <w:rsid w:val="00C16B8B"/>
    <w:rsid w:val="00C17472"/>
    <w:rsid w:val="00C2015A"/>
    <w:rsid w:val="00C204E2"/>
    <w:rsid w:val="00C2097B"/>
    <w:rsid w:val="00C212C6"/>
    <w:rsid w:val="00C217D0"/>
    <w:rsid w:val="00C21B62"/>
    <w:rsid w:val="00C21EC0"/>
    <w:rsid w:val="00C22139"/>
    <w:rsid w:val="00C22553"/>
    <w:rsid w:val="00C2257B"/>
    <w:rsid w:val="00C22B3B"/>
    <w:rsid w:val="00C2332E"/>
    <w:rsid w:val="00C23BDB"/>
    <w:rsid w:val="00C23DB2"/>
    <w:rsid w:val="00C24314"/>
    <w:rsid w:val="00C244C3"/>
    <w:rsid w:val="00C2459E"/>
    <w:rsid w:val="00C245D8"/>
    <w:rsid w:val="00C24627"/>
    <w:rsid w:val="00C248CC"/>
    <w:rsid w:val="00C2492A"/>
    <w:rsid w:val="00C24D5F"/>
    <w:rsid w:val="00C24F14"/>
    <w:rsid w:val="00C25026"/>
    <w:rsid w:val="00C25196"/>
    <w:rsid w:val="00C25385"/>
    <w:rsid w:val="00C25954"/>
    <w:rsid w:val="00C25D82"/>
    <w:rsid w:val="00C26360"/>
    <w:rsid w:val="00C2667C"/>
    <w:rsid w:val="00C2698F"/>
    <w:rsid w:val="00C26E49"/>
    <w:rsid w:val="00C27090"/>
    <w:rsid w:val="00C27843"/>
    <w:rsid w:val="00C27BD1"/>
    <w:rsid w:val="00C27CB0"/>
    <w:rsid w:val="00C27ECD"/>
    <w:rsid w:val="00C27F08"/>
    <w:rsid w:val="00C27F12"/>
    <w:rsid w:val="00C301C8"/>
    <w:rsid w:val="00C30548"/>
    <w:rsid w:val="00C30556"/>
    <w:rsid w:val="00C30647"/>
    <w:rsid w:val="00C30BBA"/>
    <w:rsid w:val="00C30DE9"/>
    <w:rsid w:val="00C30E11"/>
    <w:rsid w:val="00C310A6"/>
    <w:rsid w:val="00C31175"/>
    <w:rsid w:val="00C31442"/>
    <w:rsid w:val="00C316D5"/>
    <w:rsid w:val="00C319BB"/>
    <w:rsid w:val="00C31BA7"/>
    <w:rsid w:val="00C31BD9"/>
    <w:rsid w:val="00C31E74"/>
    <w:rsid w:val="00C32014"/>
    <w:rsid w:val="00C322B4"/>
    <w:rsid w:val="00C3297C"/>
    <w:rsid w:val="00C33020"/>
    <w:rsid w:val="00C331A4"/>
    <w:rsid w:val="00C331DE"/>
    <w:rsid w:val="00C334FB"/>
    <w:rsid w:val="00C339D9"/>
    <w:rsid w:val="00C33C15"/>
    <w:rsid w:val="00C34009"/>
    <w:rsid w:val="00C34A03"/>
    <w:rsid w:val="00C34B5F"/>
    <w:rsid w:val="00C34E6A"/>
    <w:rsid w:val="00C35573"/>
    <w:rsid w:val="00C35745"/>
    <w:rsid w:val="00C357F9"/>
    <w:rsid w:val="00C35F85"/>
    <w:rsid w:val="00C36327"/>
    <w:rsid w:val="00C36640"/>
    <w:rsid w:val="00C366F5"/>
    <w:rsid w:val="00C3692D"/>
    <w:rsid w:val="00C36A4A"/>
    <w:rsid w:val="00C36C45"/>
    <w:rsid w:val="00C372AC"/>
    <w:rsid w:val="00C37358"/>
    <w:rsid w:val="00C376A5"/>
    <w:rsid w:val="00C37A23"/>
    <w:rsid w:val="00C37BF2"/>
    <w:rsid w:val="00C37E2E"/>
    <w:rsid w:val="00C400B2"/>
    <w:rsid w:val="00C4050F"/>
    <w:rsid w:val="00C4059B"/>
    <w:rsid w:val="00C408CB"/>
    <w:rsid w:val="00C408ED"/>
    <w:rsid w:val="00C41339"/>
    <w:rsid w:val="00C4186C"/>
    <w:rsid w:val="00C41AF3"/>
    <w:rsid w:val="00C4221F"/>
    <w:rsid w:val="00C42658"/>
    <w:rsid w:val="00C42A1B"/>
    <w:rsid w:val="00C42A92"/>
    <w:rsid w:val="00C42B23"/>
    <w:rsid w:val="00C4318D"/>
    <w:rsid w:val="00C431E5"/>
    <w:rsid w:val="00C43672"/>
    <w:rsid w:val="00C4395B"/>
    <w:rsid w:val="00C43CA7"/>
    <w:rsid w:val="00C43DB3"/>
    <w:rsid w:val="00C4407E"/>
    <w:rsid w:val="00C44114"/>
    <w:rsid w:val="00C441DC"/>
    <w:rsid w:val="00C447A0"/>
    <w:rsid w:val="00C4498E"/>
    <w:rsid w:val="00C44C54"/>
    <w:rsid w:val="00C44DDC"/>
    <w:rsid w:val="00C44E83"/>
    <w:rsid w:val="00C453FC"/>
    <w:rsid w:val="00C4551B"/>
    <w:rsid w:val="00C45849"/>
    <w:rsid w:val="00C45C0A"/>
    <w:rsid w:val="00C4630D"/>
    <w:rsid w:val="00C465FE"/>
    <w:rsid w:val="00C46C58"/>
    <w:rsid w:val="00C47113"/>
    <w:rsid w:val="00C47785"/>
    <w:rsid w:val="00C478A4"/>
    <w:rsid w:val="00C47A3E"/>
    <w:rsid w:val="00C47D9A"/>
    <w:rsid w:val="00C47FC2"/>
    <w:rsid w:val="00C50252"/>
    <w:rsid w:val="00C50414"/>
    <w:rsid w:val="00C50577"/>
    <w:rsid w:val="00C50891"/>
    <w:rsid w:val="00C50B5D"/>
    <w:rsid w:val="00C50FC9"/>
    <w:rsid w:val="00C5111D"/>
    <w:rsid w:val="00C514C4"/>
    <w:rsid w:val="00C51954"/>
    <w:rsid w:val="00C51BF5"/>
    <w:rsid w:val="00C51F90"/>
    <w:rsid w:val="00C5258F"/>
    <w:rsid w:val="00C52916"/>
    <w:rsid w:val="00C52F17"/>
    <w:rsid w:val="00C5476F"/>
    <w:rsid w:val="00C549F7"/>
    <w:rsid w:val="00C55BCE"/>
    <w:rsid w:val="00C55E68"/>
    <w:rsid w:val="00C56008"/>
    <w:rsid w:val="00C56546"/>
    <w:rsid w:val="00C56688"/>
    <w:rsid w:val="00C5671C"/>
    <w:rsid w:val="00C569ED"/>
    <w:rsid w:val="00C56A27"/>
    <w:rsid w:val="00C56C1A"/>
    <w:rsid w:val="00C56D79"/>
    <w:rsid w:val="00C56F80"/>
    <w:rsid w:val="00C57249"/>
    <w:rsid w:val="00C572F5"/>
    <w:rsid w:val="00C5741B"/>
    <w:rsid w:val="00C5753A"/>
    <w:rsid w:val="00C57558"/>
    <w:rsid w:val="00C57A55"/>
    <w:rsid w:val="00C57E0F"/>
    <w:rsid w:val="00C57FF5"/>
    <w:rsid w:val="00C600B3"/>
    <w:rsid w:val="00C6053D"/>
    <w:rsid w:val="00C60816"/>
    <w:rsid w:val="00C60B17"/>
    <w:rsid w:val="00C60CB3"/>
    <w:rsid w:val="00C61388"/>
    <w:rsid w:val="00C6162E"/>
    <w:rsid w:val="00C616B2"/>
    <w:rsid w:val="00C61758"/>
    <w:rsid w:val="00C61F6C"/>
    <w:rsid w:val="00C62B0D"/>
    <w:rsid w:val="00C62BBD"/>
    <w:rsid w:val="00C62BFA"/>
    <w:rsid w:val="00C63B38"/>
    <w:rsid w:val="00C63C08"/>
    <w:rsid w:val="00C63CC6"/>
    <w:rsid w:val="00C6487D"/>
    <w:rsid w:val="00C64C61"/>
    <w:rsid w:val="00C65562"/>
    <w:rsid w:val="00C655B0"/>
    <w:rsid w:val="00C6583A"/>
    <w:rsid w:val="00C65C26"/>
    <w:rsid w:val="00C65DA8"/>
    <w:rsid w:val="00C66104"/>
    <w:rsid w:val="00C668D4"/>
    <w:rsid w:val="00C669DC"/>
    <w:rsid w:val="00C66D9D"/>
    <w:rsid w:val="00C67048"/>
    <w:rsid w:val="00C67281"/>
    <w:rsid w:val="00C67391"/>
    <w:rsid w:val="00C674B2"/>
    <w:rsid w:val="00C6759C"/>
    <w:rsid w:val="00C67AD5"/>
    <w:rsid w:val="00C67D5D"/>
    <w:rsid w:val="00C701B2"/>
    <w:rsid w:val="00C7066B"/>
    <w:rsid w:val="00C70C52"/>
    <w:rsid w:val="00C70FEC"/>
    <w:rsid w:val="00C717C0"/>
    <w:rsid w:val="00C71868"/>
    <w:rsid w:val="00C7188C"/>
    <w:rsid w:val="00C71B29"/>
    <w:rsid w:val="00C71B80"/>
    <w:rsid w:val="00C71D5C"/>
    <w:rsid w:val="00C7210E"/>
    <w:rsid w:val="00C7215B"/>
    <w:rsid w:val="00C72FF6"/>
    <w:rsid w:val="00C73505"/>
    <w:rsid w:val="00C73A93"/>
    <w:rsid w:val="00C73B3B"/>
    <w:rsid w:val="00C73C43"/>
    <w:rsid w:val="00C73EBB"/>
    <w:rsid w:val="00C73FE4"/>
    <w:rsid w:val="00C74192"/>
    <w:rsid w:val="00C746D0"/>
    <w:rsid w:val="00C7496B"/>
    <w:rsid w:val="00C74B70"/>
    <w:rsid w:val="00C74D2F"/>
    <w:rsid w:val="00C758B2"/>
    <w:rsid w:val="00C76104"/>
    <w:rsid w:val="00C76328"/>
    <w:rsid w:val="00C76397"/>
    <w:rsid w:val="00C77303"/>
    <w:rsid w:val="00C77712"/>
    <w:rsid w:val="00C80097"/>
    <w:rsid w:val="00C80251"/>
    <w:rsid w:val="00C80680"/>
    <w:rsid w:val="00C80B2A"/>
    <w:rsid w:val="00C80B6F"/>
    <w:rsid w:val="00C80F76"/>
    <w:rsid w:val="00C817BE"/>
    <w:rsid w:val="00C82426"/>
    <w:rsid w:val="00C824A8"/>
    <w:rsid w:val="00C827DA"/>
    <w:rsid w:val="00C82A61"/>
    <w:rsid w:val="00C82F86"/>
    <w:rsid w:val="00C836FE"/>
    <w:rsid w:val="00C83A80"/>
    <w:rsid w:val="00C84436"/>
    <w:rsid w:val="00C84439"/>
    <w:rsid w:val="00C84639"/>
    <w:rsid w:val="00C84B1F"/>
    <w:rsid w:val="00C84BA5"/>
    <w:rsid w:val="00C84ECE"/>
    <w:rsid w:val="00C8503C"/>
    <w:rsid w:val="00C85203"/>
    <w:rsid w:val="00C85346"/>
    <w:rsid w:val="00C85493"/>
    <w:rsid w:val="00C85ADF"/>
    <w:rsid w:val="00C85E26"/>
    <w:rsid w:val="00C861B8"/>
    <w:rsid w:val="00C8626D"/>
    <w:rsid w:val="00C86584"/>
    <w:rsid w:val="00C86D87"/>
    <w:rsid w:val="00C86F2F"/>
    <w:rsid w:val="00C8747A"/>
    <w:rsid w:val="00C8778B"/>
    <w:rsid w:val="00C902F6"/>
    <w:rsid w:val="00C9079E"/>
    <w:rsid w:val="00C90982"/>
    <w:rsid w:val="00C90A65"/>
    <w:rsid w:val="00C90CCF"/>
    <w:rsid w:val="00C9130F"/>
    <w:rsid w:val="00C919AF"/>
    <w:rsid w:val="00C91C22"/>
    <w:rsid w:val="00C91EBF"/>
    <w:rsid w:val="00C91F6C"/>
    <w:rsid w:val="00C923AF"/>
    <w:rsid w:val="00C925F3"/>
    <w:rsid w:val="00C92759"/>
    <w:rsid w:val="00C92885"/>
    <w:rsid w:val="00C92DD9"/>
    <w:rsid w:val="00C9324D"/>
    <w:rsid w:val="00C935DF"/>
    <w:rsid w:val="00C9397E"/>
    <w:rsid w:val="00C93E6D"/>
    <w:rsid w:val="00C93F0E"/>
    <w:rsid w:val="00C94117"/>
    <w:rsid w:val="00C9421F"/>
    <w:rsid w:val="00C94400"/>
    <w:rsid w:val="00C94682"/>
    <w:rsid w:val="00C949F4"/>
    <w:rsid w:val="00C94D56"/>
    <w:rsid w:val="00C9528C"/>
    <w:rsid w:val="00C952B0"/>
    <w:rsid w:val="00C95832"/>
    <w:rsid w:val="00C95F83"/>
    <w:rsid w:val="00C97239"/>
    <w:rsid w:val="00C97283"/>
    <w:rsid w:val="00CA0061"/>
    <w:rsid w:val="00CA0264"/>
    <w:rsid w:val="00CA02D0"/>
    <w:rsid w:val="00CA0310"/>
    <w:rsid w:val="00CA0CF4"/>
    <w:rsid w:val="00CA0FBC"/>
    <w:rsid w:val="00CA10A8"/>
    <w:rsid w:val="00CA1141"/>
    <w:rsid w:val="00CA1331"/>
    <w:rsid w:val="00CA1ABE"/>
    <w:rsid w:val="00CA2282"/>
    <w:rsid w:val="00CA2A02"/>
    <w:rsid w:val="00CA2FE5"/>
    <w:rsid w:val="00CA31D5"/>
    <w:rsid w:val="00CA37ED"/>
    <w:rsid w:val="00CA3F9A"/>
    <w:rsid w:val="00CA4469"/>
    <w:rsid w:val="00CA4B2C"/>
    <w:rsid w:val="00CA4EE5"/>
    <w:rsid w:val="00CA4F65"/>
    <w:rsid w:val="00CA5075"/>
    <w:rsid w:val="00CA5924"/>
    <w:rsid w:val="00CA59D2"/>
    <w:rsid w:val="00CA5D22"/>
    <w:rsid w:val="00CA5E8D"/>
    <w:rsid w:val="00CA6D87"/>
    <w:rsid w:val="00CA6DAF"/>
    <w:rsid w:val="00CA7491"/>
    <w:rsid w:val="00CA7694"/>
    <w:rsid w:val="00CA7EF3"/>
    <w:rsid w:val="00CB0552"/>
    <w:rsid w:val="00CB07B5"/>
    <w:rsid w:val="00CB0D97"/>
    <w:rsid w:val="00CB12F9"/>
    <w:rsid w:val="00CB218A"/>
    <w:rsid w:val="00CB2557"/>
    <w:rsid w:val="00CB34D6"/>
    <w:rsid w:val="00CB36D2"/>
    <w:rsid w:val="00CB39EE"/>
    <w:rsid w:val="00CB3F59"/>
    <w:rsid w:val="00CB48D0"/>
    <w:rsid w:val="00CB498E"/>
    <w:rsid w:val="00CB51B2"/>
    <w:rsid w:val="00CB538D"/>
    <w:rsid w:val="00CB539F"/>
    <w:rsid w:val="00CB5A9E"/>
    <w:rsid w:val="00CB5EB8"/>
    <w:rsid w:val="00CB5FB0"/>
    <w:rsid w:val="00CB6490"/>
    <w:rsid w:val="00CB6E57"/>
    <w:rsid w:val="00CB746C"/>
    <w:rsid w:val="00CB79A9"/>
    <w:rsid w:val="00CB7C93"/>
    <w:rsid w:val="00CB7CCA"/>
    <w:rsid w:val="00CC0452"/>
    <w:rsid w:val="00CC0FE4"/>
    <w:rsid w:val="00CC1BEC"/>
    <w:rsid w:val="00CC244C"/>
    <w:rsid w:val="00CC2526"/>
    <w:rsid w:val="00CC26A7"/>
    <w:rsid w:val="00CC2BDD"/>
    <w:rsid w:val="00CC2D1F"/>
    <w:rsid w:val="00CC2E73"/>
    <w:rsid w:val="00CC32AC"/>
    <w:rsid w:val="00CC33AF"/>
    <w:rsid w:val="00CC3631"/>
    <w:rsid w:val="00CC3BF0"/>
    <w:rsid w:val="00CC3CD1"/>
    <w:rsid w:val="00CC44E8"/>
    <w:rsid w:val="00CC462B"/>
    <w:rsid w:val="00CC4869"/>
    <w:rsid w:val="00CC4A96"/>
    <w:rsid w:val="00CC5575"/>
    <w:rsid w:val="00CC59B6"/>
    <w:rsid w:val="00CC59F4"/>
    <w:rsid w:val="00CC611B"/>
    <w:rsid w:val="00CC6304"/>
    <w:rsid w:val="00CC6602"/>
    <w:rsid w:val="00CC66C0"/>
    <w:rsid w:val="00CC6EE7"/>
    <w:rsid w:val="00CC75F6"/>
    <w:rsid w:val="00CC76AE"/>
    <w:rsid w:val="00CC7C93"/>
    <w:rsid w:val="00CD0516"/>
    <w:rsid w:val="00CD0DA2"/>
    <w:rsid w:val="00CD14D8"/>
    <w:rsid w:val="00CD19C6"/>
    <w:rsid w:val="00CD1B3E"/>
    <w:rsid w:val="00CD21EC"/>
    <w:rsid w:val="00CD22B8"/>
    <w:rsid w:val="00CD28BA"/>
    <w:rsid w:val="00CD2BC9"/>
    <w:rsid w:val="00CD2E04"/>
    <w:rsid w:val="00CD34D6"/>
    <w:rsid w:val="00CD35A3"/>
    <w:rsid w:val="00CD37A6"/>
    <w:rsid w:val="00CD3977"/>
    <w:rsid w:val="00CD397C"/>
    <w:rsid w:val="00CD3A00"/>
    <w:rsid w:val="00CD4146"/>
    <w:rsid w:val="00CD4425"/>
    <w:rsid w:val="00CD5742"/>
    <w:rsid w:val="00CD5B00"/>
    <w:rsid w:val="00CD5F9E"/>
    <w:rsid w:val="00CD60D4"/>
    <w:rsid w:val="00CD63A4"/>
    <w:rsid w:val="00CD67A2"/>
    <w:rsid w:val="00CD68C8"/>
    <w:rsid w:val="00CD68FE"/>
    <w:rsid w:val="00CD6CD2"/>
    <w:rsid w:val="00CD6EE8"/>
    <w:rsid w:val="00CD72C5"/>
    <w:rsid w:val="00CD768D"/>
    <w:rsid w:val="00CD795C"/>
    <w:rsid w:val="00CD79B7"/>
    <w:rsid w:val="00CE0723"/>
    <w:rsid w:val="00CE0953"/>
    <w:rsid w:val="00CE0969"/>
    <w:rsid w:val="00CE0ED6"/>
    <w:rsid w:val="00CE1392"/>
    <w:rsid w:val="00CE14EA"/>
    <w:rsid w:val="00CE1BBD"/>
    <w:rsid w:val="00CE1F86"/>
    <w:rsid w:val="00CE21E4"/>
    <w:rsid w:val="00CE2839"/>
    <w:rsid w:val="00CE2E54"/>
    <w:rsid w:val="00CE3419"/>
    <w:rsid w:val="00CE3A2B"/>
    <w:rsid w:val="00CE3A54"/>
    <w:rsid w:val="00CE4106"/>
    <w:rsid w:val="00CE43A6"/>
    <w:rsid w:val="00CE46ED"/>
    <w:rsid w:val="00CE4BA6"/>
    <w:rsid w:val="00CE50C5"/>
    <w:rsid w:val="00CE53F2"/>
    <w:rsid w:val="00CE57D0"/>
    <w:rsid w:val="00CE62F5"/>
    <w:rsid w:val="00CE6542"/>
    <w:rsid w:val="00CE654C"/>
    <w:rsid w:val="00CE65DD"/>
    <w:rsid w:val="00CE6690"/>
    <w:rsid w:val="00CE66A7"/>
    <w:rsid w:val="00CE6F65"/>
    <w:rsid w:val="00CE753E"/>
    <w:rsid w:val="00CE79B6"/>
    <w:rsid w:val="00CF0257"/>
    <w:rsid w:val="00CF10BF"/>
    <w:rsid w:val="00CF11CE"/>
    <w:rsid w:val="00CF1242"/>
    <w:rsid w:val="00CF1360"/>
    <w:rsid w:val="00CF17CC"/>
    <w:rsid w:val="00CF1D44"/>
    <w:rsid w:val="00CF1E11"/>
    <w:rsid w:val="00CF2356"/>
    <w:rsid w:val="00CF23CC"/>
    <w:rsid w:val="00CF2852"/>
    <w:rsid w:val="00CF2BB0"/>
    <w:rsid w:val="00CF2CCA"/>
    <w:rsid w:val="00CF2EC1"/>
    <w:rsid w:val="00CF324E"/>
    <w:rsid w:val="00CF38DF"/>
    <w:rsid w:val="00CF38E8"/>
    <w:rsid w:val="00CF3CCA"/>
    <w:rsid w:val="00CF3D90"/>
    <w:rsid w:val="00CF3DE2"/>
    <w:rsid w:val="00CF45E5"/>
    <w:rsid w:val="00CF4D1C"/>
    <w:rsid w:val="00CF5146"/>
    <w:rsid w:val="00CF52A7"/>
    <w:rsid w:val="00CF54AF"/>
    <w:rsid w:val="00CF57FA"/>
    <w:rsid w:val="00CF5F93"/>
    <w:rsid w:val="00CF5FF9"/>
    <w:rsid w:val="00CF61EF"/>
    <w:rsid w:val="00CF64C6"/>
    <w:rsid w:val="00CF66DB"/>
    <w:rsid w:val="00CF6ABD"/>
    <w:rsid w:val="00CF6E22"/>
    <w:rsid w:val="00CF7041"/>
    <w:rsid w:val="00CF709E"/>
    <w:rsid w:val="00CF70D7"/>
    <w:rsid w:val="00CF7252"/>
    <w:rsid w:val="00CF726B"/>
    <w:rsid w:val="00CF7410"/>
    <w:rsid w:val="00CF7B4B"/>
    <w:rsid w:val="00CF7CA4"/>
    <w:rsid w:val="00D0045F"/>
    <w:rsid w:val="00D00594"/>
    <w:rsid w:val="00D00F37"/>
    <w:rsid w:val="00D015D5"/>
    <w:rsid w:val="00D018D2"/>
    <w:rsid w:val="00D01AFF"/>
    <w:rsid w:val="00D01BA5"/>
    <w:rsid w:val="00D01DEC"/>
    <w:rsid w:val="00D02374"/>
    <w:rsid w:val="00D02C32"/>
    <w:rsid w:val="00D0340A"/>
    <w:rsid w:val="00D03C8A"/>
    <w:rsid w:val="00D03CC5"/>
    <w:rsid w:val="00D0429F"/>
    <w:rsid w:val="00D0471F"/>
    <w:rsid w:val="00D0486B"/>
    <w:rsid w:val="00D050DE"/>
    <w:rsid w:val="00D051B8"/>
    <w:rsid w:val="00D05209"/>
    <w:rsid w:val="00D058E3"/>
    <w:rsid w:val="00D06131"/>
    <w:rsid w:val="00D062BD"/>
    <w:rsid w:val="00D07102"/>
    <w:rsid w:val="00D075FD"/>
    <w:rsid w:val="00D0790C"/>
    <w:rsid w:val="00D07955"/>
    <w:rsid w:val="00D07B34"/>
    <w:rsid w:val="00D07E99"/>
    <w:rsid w:val="00D10BD3"/>
    <w:rsid w:val="00D10D4F"/>
    <w:rsid w:val="00D1104A"/>
    <w:rsid w:val="00D111BA"/>
    <w:rsid w:val="00D11ADD"/>
    <w:rsid w:val="00D123F6"/>
    <w:rsid w:val="00D12D79"/>
    <w:rsid w:val="00D12DCC"/>
    <w:rsid w:val="00D13E43"/>
    <w:rsid w:val="00D14420"/>
    <w:rsid w:val="00D14545"/>
    <w:rsid w:val="00D145A4"/>
    <w:rsid w:val="00D145B4"/>
    <w:rsid w:val="00D1485B"/>
    <w:rsid w:val="00D148AA"/>
    <w:rsid w:val="00D148B9"/>
    <w:rsid w:val="00D14917"/>
    <w:rsid w:val="00D14B76"/>
    <w:rsid w:val="00D1570B"/>
    <w:rsid w:val="00D15833"/>
    <w:rsid w:val="00D15956"/>
    <w:rsid w:val="00D15AA7"/>
    <w:rsid w:val="00D15B49"/>
    <w:rsid w:val="00D15DB4"/>
    <w:rsid w:val="00D17421"/>
    <w:rsid w:val="00D17D1C"/>
    <w:rsid w:val="00D20246"/>
    <w:rsid w:val="00D2034E"/>
    <w:rsid w:val="00D204E0"/>
    <w:rsid w:val="00D20516"/>
    <w:rsid w:val="00D207DB"/>
    <w:rsid w:val="00D20A4A"/>
    <w:rsid w:val="00D21D4C"/>
    <w:rsid w:val="00D22202"/>
    <w:rsid w:val="00D22319"/>
    <w:rsid w:val="00D226C3"/>
    <w:rsid w:val="00D23B09"/>
    <w:rsid w:val="00D23E26"/>
    <w:rsid w:val="00D23F4B"/>
    <w:rsid w:val="00D243C3"/>
    <w:rsid w:val="00D247AC"/>
    <w:rsid w:val="00D24DB9"/>
    <w:rsid w:val="00D256CC"/>
    <w:rsid w:val="00D25871"/>
    <w:rsid w:val="00D26762"/>
    <w:rsid w:val="00D26D68"/>
    <w:rsid w:val="00D278A1"/>
    <w:rsid w:val="00D27CA7"/>
    <w:rsid w:val="00D30951"/>
    <w:rsid w:val="00D309E8"/>
    <w:rsid w:val="00D312AD"/>
    <w:rsid w:val="00D31327"/>
    <w:rsid w:val="00D318FE"/>
    <w:rsid w:val="00D319A6"/>
    <w:rsid w:val="00D31AD7"/>
    <w:rsid w:val="00D31B95"/>
    <w:rsid w:val="00D31E2E"/>
    <w:rsid w:val="00D31F3B"/>
    <w:rsid w:val="00D31F49"/>
    <w:rsid w:val="00D32140"/>
    <w:rsid w:val="00D32576"/>
    <w:rsid w:val="00D32D30"/>
    <w:rsid w:val="00D33402"/>
    <w:rsid w:val="00D335AD"/>
    <w:rsid w:val="00D341E4"/>
    <w:rsid w:val="00D345E2"/>
    <w:rsid w:val="00D3466F"/>
    <w:rsid w:val="00D34697"/>
    <w:rsid w:val="00D34844"/>
    <w:rsid w:val="00D34964"/>
    <w:rsid w:val="00D34AFD"/>
    <w:rsid w:val="00D34BB0"/>
    <w:rsid w:val="00D34C29"/>
    <w:rsid w:val="00D363DE"/>
    <w:rsid w:val="00D36792"/>
    <w:rsid w:val="00D36973"/>
    <w:rsid w:val="00D36AB5"/>
    <w:rsid w:val="00D36B1C"/>
    <w:rsid w:val="00D36F36"/>
    <w:rsid w:val="00D3730C"/>
    <w:rsid w:val="00D37E99"/>
    <w:rsid w:val="00D37FBB"/>
    <w:rsid w:val="00D401E0"/>
    <w:rsid w:val="00D40B20"/>
    <w:rsid w:val="00D41E81"/>
    <w:rsid w:val="00D41EF7"/>
    <w:rsid w:val="00D41F35"/>
    <w:rsid w:val="00D4223E"/>
    <w:rsid w:val="00D4253F"/>
    <w:rsid w:val="00D427E7"/>
    <w:rsid w:val="00D428D4"/>
    <w:rsid w:val="00D43428"/>
    <w:rsid w:val="00D43598"/>
    <w:rsid w:val="00D4387D"/>
    <w:rsid w:val="00D43A68"/>
    <w:rsid w:val="00D44087"/>
    <w:rsid w:val="00D44214"/>
    <w:rsid w:val="00D44361"/>
    <w:rsid w:val="00D4489D"/>
    <w:rsid w:val="00D448F6"/>
    <w:rsid w:val="00D4589F"/>
    <w:rsid w:val="00D45FAA"/>
    <w:rsid w:val="00D4632B"/>
    <w:rsid w:val="00D4645E"/>
    <w:rsid w:val="00D46619"/>
    <w:rsid w:val="00D467CA"/>
    <w:rsid w:val="00D46929"/>
    <w:rsid w:val="00D46B67"/>
    <w:rsid w:val="00D46C67"/>
    <w:rsid w:val="00D47658"/>
    <w:rsid w:val="00D477AD"/>
    <w:rsid w:val="00D508E3"/>
    <w:rsid w:val="00D50BEC"/>
    <w:rsid w:val="00D50D52"/>
    <w:rsid w:val="00D50FA5"/>
    <w:rsid w:val="00D51106"/>
    <w:rsid w:val="00D51642"/>
    <w:rsid w:val="00D5190D"/>
    <w:rsid w:val="00D51954"/>
    <w:rsid w:val="00D51D4A"/>
    <w:rsid w:val="00D528ED"/>
    <w:rsid w:val="00D52B65"/>
    <w:rsid w:val="00D52C33"/>
    <w:rsid w:val="00D52F21"/>
    <w:rsid w:val="00D53753"/>
    <w:rsid w:val="00D53BFC"/>
    <w:rsid w:val="00D5481B"/>
    <w:rsid w:val="00D54885"/>
    <w:rsid w:val="00D54C55"/>
    <w:rsid w:val="00D55029"/>
    <w:rsid w:val="00D550B4"/>
    <w:rsid w:val="00D551CA"/>
    <w:rsid w:val="00D55CE6"/>
    <w:rsid w:val="00D55DB8"/>
    <w:rsid w:val="00D5619D"/>
    <w:rsid w:val="00D5630B"/>
    <w:rsid w:val="00D56553"/>
    <w:rsid w:val="00D56D5F"/>
    <w:rsid w:val="00D56F6E"/>
    <w:rsid w:val="00D56FA6"/>
    <w:rsid w:val="00D57222"/>
    <w:rsid w:val="00D5781F"/>
    <w:rsid w:val="00D57C10"/>
    <w:rsid w:val="00D57C3A"/>
    <w:rsid w:val="00D57E1A"/>
    <w:rsid w:val="00D6047C"/>
    <w:rsid w:val="00D604C9"/>
    <w:rsid w:val="00D608AD"/>
    <w:rsid w:val="00D60953"/>
    <w:rsid w:val="00D60B01"/>
    <w:rsid w:val="00D60F60"/>
    <w:rsid w:val="00D611AF"/>
    <w:rsid w:val="00D611D2"/>
    <w:rsid w:val="00D611D7"/>
    <w:rsid w:val="00D61227"/>
    <w:rsid w:val="00D6156B"/>
    <w:rsid w:val="00D61822"/>
    <w:rsid w:val="00D6197C"/>
    <w:rsid w:val="00D61A22"/>
    <w:rsid w:val="00D61AD1"/>
    <w:rsid w:val="00D61F94"/>
    <w:rsid w:val="00D620E4"/>
    <w:rsid w:val="00D62A45"/>
    <w:rsid w:val="00D62FE5"/>
    <w:rsid w:val="00D63046"/>
    <w:rsid w:val="00D64217"/>
    <w:rsid w:val="00D64262"/>
    <w:rsid w:val="00D6473B"/>
    <w:rsid w:val="00D64A8A"/>
    <w:rsid w:val="00D64AB4"/>
    <w:rsid w:val="00D64F69"/>
    <w:rsid w:val="00D64F7B"/>
    <w:rsid w:val="00D64F85"/>
    <w:rsid w:val="00D652DD"/>
    <w:rsid w:val="00D65756"/>
    <w:rsid w:val="00D65D4B"/>
    <w:rsid w:val="00D65E22"/>
    <w:rsid w:val="00D6610E"/>
    <w:rsid w:val="00D66284"/>
    <w:rsid w:val="00D66675"/>
    <w:rsid w:val="00D668ED"/>
    <w:rsid w:val="00D66BD4"/>
    <w:rsid w:val="00D66C67"/>
    <w:rsid w:val="00D66D34"/>
    <w:rsid w:val="00D66D43"/>
    <w:rsid w:val="00D66DC3"/>
    <w:rsid w:val="00D66EE3"/>
    <w:rsid w:val="00D67573"/>
    <w:rsid w:val="00D675C0"/>
    <w:rsid w:val="00D67B03"/>
    <w:rsid w:val="00D67FDE"/>
    <w:rsid w:val="00D70005"/>
    <w:rsid w:val="00D70137"/>
    <w:rsid w:val="00D70568"/>
    <w:rsid w:val="00D70C89"/>
    <w:rsid w:val="00D70FE3"/>
    <w:rsid w:val="00D7103F"/>
    <w:rsid w:val="00D7122E"/>
    <w:rsid w:val="00D71567"/>
    <w:rsid w:val="00D7188E"/>
    <w:rsid w:val="00D71B4C"/>
    <w:rsid w:val="00D71EDC"/>
    <w:rsid w:val="00D71F73"/>
    <w:rsid w:val="00D726EB"/>
    <w:rsid w:val="00D72DBD"/>
    <w:rsid w:val="00D73075"/>
    <w:rsid w:val="00D739CB"/>
    <w:rsid w:val="00D74289"/>
    <w:rsid w:val="00D7452F"/>
    <w:rsid w:val="00D74698"/>
    <w:rsid w:val="00D7495D"/>
    <w:rsid w:val="00D7553D"/>
    <w:rsid w:val="00D75EAC"/>
    <w:rsid w:val="00D76178"/>
    <w:rsid w:val="00D762A9"/>
    <w:rsid w:val="00D763BD"/>
    <w:rsid w:val="00D76C5E"/>
    <w:rsid w:val="00D76D68"/>
    <w:rsid w:val="00D77003"/>
    <w:rsid w:val="00D77222"/>
    <w:rsid w:val="00D77A50"/>
    <w:rsid w:val="00D77BAD"/>
    <w:rsid w:val="00D80543"/>
    <w:rsid w:val="00D808E8"/>
    <w:rsid w:val="00D80A62"/>
    <w:rsid w:val="00D80D8D"/>
    <w:rsid w:val="00D80E65"/>
    <w:rsid w:val="00D811CE"/>
    <w:rsid w:val="00D8166E"/>
    <w:rsid w:val="00D819A7"/>
    <w:rsid w:val="00D81AB1"/>
    <w:rsid w:val="00D81B3C"/>
    <w:rsid w:val="00D81D5F"/>
    <w:rsid w:val="00D81D92"/>
    <w:rsid w:val="00D823A2"/>
    <w:rsid w:val="00D82664"/>
    <w:rsid w:val="00D826F9"/>
    <w:rsid w:val="00D82CDE"/>
    <w:rsid w:val="00D8361E"/>
    <w:rsid w:val="00D83C2F"/>
    <w:rsid w:val="00D83FCF"/>
    <w:rsid w:val="00D8416E"/>
    <w:rsid w:val="00D8448E"/>
    <w:rsid w:val="00D84AF0"/>
    <w:rsid w:val="00D84D92"/>
    <w:rsid w:val="00D84F43"/>
    <w:rsid w:val="00D8508F"/>
    <w:rsid w:val="00D8542A"/>
    <w:rsid w:val="00D85AE8"/>
    <w:rsid w:val="00D85EDE"/>
    <w:rsid w:val="00D860D4"/>
    <w:rsid w:val="00D8619A"/>
    <w:rsid w:val="00D86EEA"/>
    <w:rsid w:val="00D8703F"/>
    <w:rsid w:val="00D87446"/>
    <w:rsid w:val="00D8765A"/>
    <w:rsid w:val="00D87AFF"/>
    <w:rsid w:val="00D87D24"/>
    <w:rsid w:val="00D90485"/>
    <w:rsid w:val="00D904B2"/>
    <w:rsid w:val="00D90781"/>
    <w:rsid w:val="00D90BE0"/>
    <w:rsid w:val="00D90C63"/>
    <w:rsid w:val="00D9112A"/>
    <w:rsid w:val="00D911FF"/>
    <w:rsid w:val="00D91306"/>
    <w:rsid w:val="00D91C17"/>
    <w:rsid w:val="00D91E7E"/>
    <w:rsid w:val="00D91F8D"/>
    <w:rsid w:val="00D920AE"/>
    <w:rsid w:val="00D926F7"/>
    <w:rsid w:val="00D927D1"/>
    <w:rsid w:val="00D92887"/>
    <w:rsid w:val="00D9288A"/>
    <w:rsid w:val="00D934E3"/>
    <w:rsid w:val="00D941DE"/>
    <w:rsid w:val="00D943F0"/>
    <w:rsid w:val="00D944D3"/>
    <w:rsid w:val="00D95BCE"/>
    <w:rsid w:val="00D961A1"/>
    <w:rsid w:val="00D961D3"/>
    <w:rsid w:val="00D961D8"/>
    <w:rsid w:val="00D961FE"/>
    <w:rsid w:val="00D963CF"/>
    <w:rsid w:val="00D96407"/>
    <w:rsid w:val="00D96933"/>
    <w:rsid w:val="00D96E81"/>
    <w:rsid w:val="00D96F0D"/>
    <w:rsid w:val="00D97080"/>
    <w:rsid w:val="00D9772B"/>
    <w:rsid w:val="00D97D84"/>
    <w:rsid w:val="00DA01B3"/>
    <w:rsid w:val="00DA05E8"/>
    <w:rsid w:val="00DA0A50"/>
    <w:rsid w:val="00DA0D1B"/>
    <w:rsid w:val="00DA126F"/>
    <w:rsid w:val="00DA13A7"/>
    <w:rsid w:val="00DA1DF6"/>
    <w:rsid w:val="00DA1F1C"/>
    <w:rsid w:val="00DA24D1"/>
    <w:rsid w:val="00DA25F9"/>
    <w:rsid w:val="00DA29A2"/>
    <w:rsid w:val="00DA2A6D"/>
    <w:rsid w:val="00DA2B77"/>
    <w:rsid w:val="00DA366E"/>
    <w:rsid w:val="00DA3895"/>
    <w:rsid w:val="00DA3D25"/>
    <w:rsid w:val="00DA3DF7"/>
    <w:rsid w:val="00DA3E76"/>
    <w:rsid w:val="00DA412B"/>
    <w:rsid w:val="00DA4F04"/>
    <w:rsid w:val="00DA5056"/>
    <w:rsid w:val="00DA50F5"/>
    <w:rsid w:val="00DA51E6"/>
    <w:rsid w:val="00DA5205"/>
    <w:rsid w:val="00DA5A80"/>
    <w:rsid w:val="00DA633D"/>
    <w:rsid w:val="00DA6418"/>
    <w:rsid w:val="00DA67B6"/>
    <w:rsid w:val="00DA7368"/>
    <w:rsid w:val="00DA79DE"/>
    <w:rsid w:val="00DA7C90"/>
    <w:rsid w:val="00DA7D28"/>
    <w:rsid w:val="00DA7F3A"/>
    <w:rsid w:val="00DA7F62"/>
    <w:rsid w:val="00DB0046"/>
    <w:rsid w:val="00DB0123"/>
    <w:rsid w:val="00DB0286"/>
    <w:rsid w:val="00DB02ED"/>
    <w:rsid w:val="00DB035B"/>
    <w:rsid w:val="00DB0DF7"/>
    <w:rsid w:val="00DB16B9"/>
    <w:rsid w:val="00DB18FC"/>
    <w:rsid w:val="00DB1DFB"/>
    <w:rsid w:val="00DB22E2"/>
    <w:rsid w:val="00DB256F"/>
    <w:rsid w:val="00DB260C"/>
    <w:rsid w:val="00DB2822"/>
    <w:rsid w:val="00DB2A3F"/>
    <w:rsid w:val="00DB2B9E"/>
    <w:rsid w:val="00DB2C33"/>
    <w:rsid w:val="00DB3130"/>
    <w:rsid w:val="00DB3394"/>
    <w:rsid w:val="00DB34D7"/>
    <w:rsid w:val="00DB37FD"/>
    <w:rsid w:val="00DB3831"/>
    <w:rsid w:val="00DB42B5"/>
    <w:rsid w:val="00DB4644"/>
    <w:rsid w:val="00DB4853"/>
    <w:rsid w:val="00DB48D6"/>
    <w:rsid w:val="00DB4D2C"/>
    <w:rsid w:val="00DB4E5A"/>
    <w:rsid w:val="00DB54C4"/>
    <w:rsid w:val="00DB556E"/>
    <w:rsid w:val="00DB569A"/>
    <w:rsid w:val="00DB5AD8"/>
    <w:rsid w:val="00DB61F6"/>
    <w:rsid w:val="00DB6707"/>
    <w:rsid w:val="00DB6A40"/>
    <w:rsid w:val="00DB7107"/>
    <w:rsid w:val="00DB72D8"/>
    <w:rsid w:val="00DB7635"/>
    <w:rsid w:val="00DB7BF9"/>
    <w:rsid w:val="00DB7C4C"/>
    <w:rsid w:val="00DB7EA1"/>
    <w:rsid w:val="00DC0745"/>
    <w:rsid w:val="00DC0B63"/>
    <w:rsid w:val="00DC0CB9"/>
    <w:rsid w:val="00DC0E6F"/>
    <w:rsid w:val="00DC127F"/>
    <w:rsid w:val="00DC1485"/>
    <w:rsid w:val="00DC178E"/>
    <w:rsid w:val="00DC17A4"/>
    <w:rsid w:val="00DC18AC"/>
    <w:rsid w:val="00DC1D40"/>
    <w:rsid w:val="00DC2476"/>
    <w:rsid w:val="00DC28C9"/>
    <w:rsid w:val="00DC2BA6"/>
    <w:rsid w:val="00DC2D4B"/>
    <w:rsid w:val="00DC326B"/>
    <w:rsid w:val="00DC343C"/>
    <w:rsid w:val="00DC3457"/>
    <w:rsid w:val="00DC3519"/>
    <w:rsid w:val="00DC3537"/>
    <w:rsid w:val="00DC3569"/>
    <w:rsid w:val="00DC3B9E"/>
    <w:rsid w:val="00DC3BE4"/>
    <w:rsid w:val="00DC4BA1"/>
    <w:rsid w:val="00DC51A3"/>
    <w:rsid w:val="00DC5267"/>
    <w:rsid w:val="00DC546A"/>
    <w:rsid w:val="00DC595F"/>
    <w:rsid w:val="00DC5D72"/>
    <w:rsid w:val="00DC6CFF"/>
    <w:rsid w:val="00DC6E76"/>
    <w:rsid w:val="00DC6FEE"/>
    <w:rsid w:val="00DC744D"/>
    <w:rsid w:val="00DC7457"/>
    <w:rsid w:val="00DC74C2"/>
    <w:rsid w:val="00DC79AE"/>
    <w:rsid w:val="00DC7D84"/>
    <w:rsid w:val="00DD081D"/>
    <w:rsid w:val="00DD15B8"/>
    <w:rsid w:val="00DD1645"/>
    <w:rsid w:val="00DD1859"/>
    <w:rsid w:val="00DD19C1"/>
    <w:rsid w:val="00DD1AD5"/>
    <w:rsid w:val="00DD1B37"/>
    <w:rsid w:val="00DD1BA9"/>
    <w:rsid w:val="00DD28AE"/>
    <w:rsid w:val="00DD2E21"/>
    <w:rsid w:val="00DD2FA7"/>
    <w:rsid w:val="00DD3165"/>
    <w:rsid w:val="00DD3369"/>
    <w:rsid w:val="00DD3C61"/>
    <w:rsid w:val="00DD3CD4"/>
    <w:rsid w:val="00DD4067"/>
    <w:rsid w:val="00DD46BF"/>
    <w:rsid w:val="00DD4896"/>
    <w:rsid w:val="00DD4CD0"/>
    <w:rsid w:val="00DD4EB6"/>
    <w:rsid w:val="00DD5841"/>
    <w:rsid w:val="00DD5A92"/>
    <w:rsid w:val="00DD5CF3"/>
    <w:rsid w:val="00DD63E5"/>
    <w:rsid w:val="00DD6409"/>
    <w:rsid w:val="00DD6B26"/>
    <w:rsid w:val="00DD75DF"/>
    <w:rsid w:val="00DD7653"/>
    <w:rsid w:val="00DD7776"/>
    <w:rsid w:val="00DE03D9"/>
    <w:rsid w:val="00DE1514"/>
    <w:rsid w:val="00DE16AB"/>
    <w:rsid w:val="00DE19B9"/>
    <w:rsid w:val="00DE1A37"/>
    <w:rsid w:val="00DE1B58"/>
    <w:rsid w:val="00DE1EDA"/>
    <w:rsid w:val="00DE209F"/>
    <w:rsid w:val="00DE296D"/>
    <w:rsid w:val="00DE2FE8"/>
    <w:rsid w:val="00DE3169"/>
    <w:rsid w:val="00DE390D"/>
    <w:rsid w:val="00DE39EC"/>
    <w:rsid w:val="00DE3C5D"/>
    <w:rsid w:val="00DE420C"/>
    <w:rsid w:val="00DE4AE4"/>
    <w:rsid w:val="00DE4D0A"/>
    <w:rsid w:val="00DE4D7E"/>
    <w:rsid w:val="00DE5635"/>
    <w:rsid w:val="00DE56A9"/>
    <w:rsid w:val="00DE5732"/>
    <w:rsid w:val="00DE5D46"/>
    <w:rsid w:val="00DE5EE7"/>
    <w:rsid w:val="00DE6A1A"/>
    <w:rsid w:val="00DE6D84"/>
    <w:rsid w:val="00DE6FC4"/>
    <w:rsid w:val="00DE6FFB"/>
    <w:rsid w:val="00DE766B"/>
    <w:rsid w:val="00DE779D"/>
    <w:rsid w:val="00DE7A1D"/>
    <w:rsid w:val="00DF0455"/>
    <w:rsid w:val="00DF11DE"/>
    <w:rsid w:val="00DF16CA"/>
    <w:rsid w:val="00DF1B93"/>
    <w:rsid w:val="00DF1EC7"/>
    <w:rsid w:val="00DF2139"/>
    <w:rsid w:val="00DF22DC"/>
    <w:rsid w:val="00DF26A2"/>
    <w:rsid w:val="00DF2A05"/>
    <w:rsid w:val="00DF2A7E"/>
    <w:rsid w:val="00DF2FEC"/>
    <w:rsid w:val="00DF3501"/>
    <w:rsid w:val="00DF3D6F"/>
    <w:rsid w:val="00DF424C"/>
    <w:rsid w:val="00DF44C6"/>
    <w:rsid w:val="00DF4951"/>
    <w:rsid w:val="00DF52FB"/>
    <w:rsid w:val="00DF5378"/>
    <w:rsid w:val="00DF587A"/>
    <w:rsid w:val="00DF5CA9"/>
    <w:rsid w:val="00DF5EAB"/>
    <w:rsid w:val="00DF62D7"/>
    <w:rsid w:val="00DF6684"/>
    <w:rsid w:val="00DF6989"/>
    <w:rsid w:val="00DF6D3E"/>
    <w:rsid w:val="00DF71BD"/>
    <w:rsid w:val="00DF76C2"/>
    <w:rsid w:val="00DF780B"/>
    <w:rsid w:val="00DF7A78"/>
    <w:rsid w:val="00DF7D79"/>
    <w:rsid w:val="00E002E7"/>
    <w:rsid w:val="00E006B5"/>
    <w:rsid w:val="00E007D1"/>
    <w:rsid w:val="00E00BD4"/>
    <w:rsid w:val="00E0142A"/>
    <w:rsid w:val="00E0158E"/>
    <w:rsid w:val="00E01672"/>
    <w:rsid w:val="00E01755"/>
    <w:rsid w:val="00E01930"/>
    <w:rsid w:val="00E01998"/>
    <w:rsid w:val="00E0207B"/>
    <w:rsid w:val="00E024F1"/>
    <w:rsid w:val="00E02A2F"/>
    <w:rsid w:val="00E02CCB"/>
    <w:rsid w:val="00E02D89"/>
    <w:rsid w:val="00E034CF"/>
    <w:rsid w:val="00E036BB"/>
    <w:rsid w:val="00E03903"/>
    <w:rsid w:val="00E03BFE"/>
    <w:rsid w:val="00E03DAD"/>
    <w:rsid w:val="00E04151"/>
    <w:rsid w:val="00E043E4"/>
    <w:rsid w:val="00E0476E"/>
    <w:rsid w:val="00E04815"/>
    <w:rsid w:val="00E0491A"/>
    <w:rsid w:val="00E04B6E"/>
    <w:rsid w:val="00E0519B"/>
    <w:rsid w:val="00E0613F"/>
    <w:rsid w:val="00E0674D"/>
    <w:rsid w:val="00E06815"/>
    <w:rsid w:val="00E0690B"/>
    <w:rsid w:val="00E070CD"/>
    <w:rsid w:val="00E073BA"/>
    <w:rsid w:val="00E07648"/>
    <w:rsid w:val="00E0786A"/>
    <w:rsid w:val="00E0790C"/>
    <w:rsid w:val="00E0793C"/>
    <w:rsid w:val="00E07EE4"/>
    <w:rsid w:val="00E1077E"/>
    <w:rsid w:val="00E10D81"/>
    <w:rsid w:val="00E10EE6"/>
    <w:rsid w:val="00E11331"/>
    <w:rsid w:val="00E1142A"/>
    <w:rsid w:val="00E115AC"/>
    <w:rsid w:val="00E11AB6"/>
    <w:rsid w:val="00E11D0C"/>
    <w:rsid w:val="00E11F2E"/>
    <w:rsid w:val="00E12201"/>
    <w:rsid w:val="00E12606"/>
    <w:rsid w:val="00E127AA"/>
    <w:rsid w:val="00E12BEC"/>
    <w:rsid w:val="00E12E42"/>
    <w:rsid w:val="00E13262"/>
    <w:rsid w:val="00E13995"/>
    <w:rsid w:val="00E139CB"/>
    <w:rsid w:val="00E13BC3"/>
    <w:rsid w:val="00E13E10"/>
    <w:rsid w:val="00E13EAC"/>
    <w:rsid w:val="00E13F25"/>
    <w:rsid w:val="00E14858"/>
    <w:rsid w:val="00E14B27"/>
    <w:rsid w:val="00E14CCD"/>
    <w:rsid w:val="00E14D82"/>
    <w:rsid w:val="00E14F00"/>
    <w:rsid w:val="00E15088"/>
    <w:rsid w:val="00E152C5"/>
    <w:rsid w:val="00E153CF"/>
    <w:rsid w:val="00E15558"/>
    <w:rsid w:val="00E15A2F"/>
    <w:rsid w:val="00E16589"/>
    <w:rsid w:val="00E166CE"/>
    <w:rsid w:val="00E16995"/>
    <w:rsid w:val="00E16F72"/>
    <w:rsid w:val="00E17662"/>
    <w:rsid w:val="00E17E53"/>
    <w:rsid w:val="00E17E79"/>
    <w:rsid w:val="00E17EEA"/>
    <w:rsid w:val="00E2009B"/>
    <w:rsid w:val="00E200A4"/>
    <w:rsid w:val="00E20888"/>
    <w:rsid w:val="00E20BDE"/>
    <w:rsid w:val="00E20F42"/>
    <w:rsid w:val="00E20F9B"/>
    <w:rsid w:val="00E210F5"/>
    <w:rsid w:val="00E215C8"/>
    <w:rsid w:val="00E21CBA"/>
    <w:rsid w:val="00E21F39"/>
    <w:rsid w:val="00E221A9"/>
    <w:rsid w:val="00E22998"/>
    <w:rsid w:val="00E22AB6"/>
    <w:rsid w:val="00E22D29"/>
    <w:rsid w:val="00E2328F"/>
    <w:rsid w:val="00E233FD"/>
    <w:rsid w:val="00E2353B"/>
    <w:rsid w:val="00E23744"/>
    <w:rsid w:val="00E23780"/>
    <w:rsid w:val="00E23FC0"/>
    <w:rsid w:val="00E24006"/>
    <w:rsid w:val="00E2411C"/>
    <w:rsid w:val="00E2453A"/>
    <w:rsid w:val="00E24921"/>
    <w:rsid w:val="00E24F16"/>
    <w:rsid w:val="00E24F7F"/>
    <w:rsid w:val="00E250AB"/>
    <w:rsid w:val="00E2530C"/>
    <w:rsid w:val="00E25446"/>
    <w:rsid w:val="00E25FE4"/>
    <w:rsid w:val="00E263F5"/>
    <w:rsid w:val="00E26747"/>
    <w:rsid w:val="00E26AFF"/>
    <w:rsid w:val="00E26E83"/>
    <w:rsid w:val="00E2712E"/>
    <w:rsid w:val="00E27200"/>
    <w:rsid w:val="00E27500"/>
    <w:rsid w:val="00E2756C"/>
    <w:rsid w:val="00E27A05"/>
    <w:rsid w:val="00E3010D"/>
    <w:rsid w:val="00E30288"/>
    <w:rsid w:val="00E3035F"/>
    <w:rsid w:val="00E30BF8"/>
    <w:rsid w:val="00E30EB1"/>
    <w:rsid w:val="00E31073"/>
    <w:rsid w:val="00E31370"/>
    <w:rsid w:val="00E314C1"/>
    <w:rsid w:val="00E317DF"/>
    <w:rsid w:val="00E31F2E"/>
    <w:rsid w:val="00E3238C"/>
    <w:rsid w:val="00E3258D"/>
    <w:rsid w:val="00E325A5"/>
    <w:rsid w:val="00E32B14"/>
    <w:rsid w:val="00E330AB"/>
    <w:rsid w:val="00E33426"/>
    <w:rsid w:val="00E33B45"/>
    <w:rsid w:val="00E343FF"/>
    <w:rsid w:val="00E34A48"/>
    <w:rsid w:val="00E35049"/>
    <w:rsid w:val="00E352AD"/>
    <w:rsid w:val="00E3538B"/>
    <w:rsid w:val="00E353E5"/>
    <w:rsid w:val="00E357EE"/>
    <w:rsid w:val="00E358BC"/>
    <w:rsid w:val="00E3771E"/>
    <w:rsid w:val="00E37841"/>
    <w:rsid w:val="00E37B31"/>
    <w:rsid w:val="00E403A8"/>
    <w:rsid w:val="00E403F0"/>
    <w:rsid w:val="00E40BD0"/>
    <w:rsid w:val="00E414FE"/>
    <w:rsid w:val="00E416E1"/>
    <w:rsid w:val="00E41B9F"/>
    <w:rsid w:val="00E41ED6"/>
    <w:rsid w:val="00E42738"/>
    <w:rsid w:val="00E42942"/>
    <w:rsid w:val="00E42B30"/>
    <w:rsid w:val="00E42D0A"/>
    <w:rsid w:val="00E43292"/>
    <w:rsid w:val="00E43382"/>
    <w:rsid w:val="00E44939"/>
    <w:rsid w:val="00E44A91"/>
    <w:rsid w:val="00E44C78"/>
    <w:rsid w:val="00E44E07"/>
    <w:rsid w:val="00E44E2E"/>
    <w:rsid w:val="00E453B4"/>
    <w:rsid w:val="00E4588E"/>
    <w:rsid w:val="00E45942"/>
    <w:rsid w:val="00E4611D"/>
    <w:rsid w:val="00E4613C"/>
    <w:rsid w:val="00E46475"/>
    <w:rsid w:val="00E46F67"/>
    <w:rsid w:val="00E4784D"/>
    <w:rsid w:val="00E4793B"/>
    <w:rsid w:val="00E47A58"/>
    <w:rsid w:val="00E504B1"/>
    <w:rsid w:val="00E507D8"/>
    <w:rsid w:val="00E507D9"/>
    <w:rsid w:val="00E50994"/>
    <w:rsid w:val="00E50AAC"/>
    <w:rsid w:val="00E513DC"/>
    <w:rsid w:val="00E51845"/>
    <w:rsid w:val="00E51982"/>
    <w:rsid w:val="00E51ACB"/>
    <w:rsid w:val="00E51AEC"/>
    <w:rsid w:val="00E52033"/>
    <w:rsid w:val="00E520CE"/>
    <w:rsid w:val="00E5234E"/>
    <w:rsid w:val="00E52798"/>
    <w:rsid w:val="00E52A1D"/>
    <w:rsid w:val="00E52AA9"/>
    <w:rsid w:val="00E53347"/>
    <w:rsid w:val="00E53D13"/>
    <w:rsid w:val="00E5464B"/>
    <w:rsid w:val="00E550D2"/>
    <w:rsid w:val="00E558DC"/>
    <w:rsid w:val="00E559B3"/>
    <w:rsid w:val="00E55C8A"/>
    <w:rsid w:val="00E562C3"/>
    <w:rsid w:val="00E566CC"/>
    <w:rsid w:val="00E56779"/>
    <w:rsid w:val="00E567FA"/>
    <w:rsid w:val="00E56966"/>
    <w:rsid w:val="00E56C87"/>
    <w:rsid w:val="00E56DE7"/>
    <w:rsid w:val="00E56EAE"/>
    <w:rsid w:val="00E57159"/>
    <w:rsid w:val="00E572C4"/>
    <w:rsid w:val="00E57552"/>
    <w:rsid w:val="00E5792F"/>
    <w:rsid w:val="00E57C95"/>
    <w:rsid w:val="00E6008C"/>
    <w:rsid w:val="00E6019E"/>
    <w:rsid w:val="00E602E2"/>
    <w:rsid w:val="00E606A7"/>
    <w:rsid w:val="00E61032"/>
    <w:rsid w:val="00E6117A"/>
    <w:rsid w:val="00E6127B"/>
    <w:rsid w:val="00E61571"/>
    <w:rsid w:val="00E61AFF"/>
    <w:rsid w:val="00E61B1E"/>
    <w:rsid w:val="00E61FDF"/>
    <w:rsid w:val="00E6223A"/>
    <w:rsid w:val="00E62338"/>
    <w:rsid w:val="00E63484"/>
    <w:rsid w:val="00E63553"/>
    <w:rsid w:val="00E635F4"/>
    <w:rsid w:val="00E63F9A"/>
    <w:rsid w:val="00E6412C"/>
    <w:rsid w:val="00E64242"/>
    <w:rsid w:val="00E64280"/>
    <w:rsid w:val="00E64389"/>
    <w:rsid w:val="00E645B0"/>
    <w:rsid w:val="00E64612"/>
    <w:rsid w:val="00E64821"/>
    <w:rsid w:val="00E6491D"/>
    <w:rsid w:val="00E65419"/>
    <w:rsid w:val="00E6569A"/>
    <w:rsid w:val="00E65CF2"/>
    <w:rsid w:val="00E66260"/>
    <w:rsid w:val="00E66455"/>
    <w:rsid w:val="00E669A8"/>
    <w:rsid w:val="00E66A98"/>
    <w:rsid w:val="00E66BC3"/>
    <w:rsid w:val="00E66F56"/>
    <w:rsid w:val="00E670E3"/>
    <w:rsid w:val="00E6716E"/>
    <w:rsid w:val="00E672EC"/>
    <w:rsid w:val="00E678EC"/>
    <w:rsid w:val="00E678F7"/>
    <w:rsid w:val="00E67AA2"/>
    <w:rsid w:val="00E67C35"/>
    <w:rsid w:val="00E70034"/>
    <w:rsid w:val="00E70299"/>
    <w:rsid w:val="00E702AC"/>
    <w:rsid w:val="00E704DB"/>
    <w:rsid w:val="00E70791"/>
    <w:rsid w:val="00E71063"/>
    <w:rsid w:val="00E712C5"/>
    <w:rsid w:val="00E71E55"/>
    <w:rsid w:val="00E72197"/>
    <w:rsid w:val="00E724A4"/>
    <w:rsid w:val="00E725C3"/>
    <w:rsid w:val="00E72637"/>
    <w:rsid w:val="00E72C2E"/>
    <w:rsid w:val="00E72C8F"/>
    <w:rsid w:val="00E7308D"/>
    <w:rsid w:val="00E736D1"/>
    <w:rsid w:val="00E73A95"/>
    <w:rsid w:val="00E73B1F"/>
    <w:rsid w:val="00E73C7F"/>
    <w:rsid w:val="00E7400B"/>
    <w:rsid w:val="00E74109"/>
    <w:rsid w:val="00E744AB"/>
    <w:rsid w:val="00E7453A"/>
    <w:rsid w:val="00E74E63"/>
    <w:rsid w:val="00E753D2"/>
    <w:rsid w:val="00E75445"/>
    <w:rsid w:val="00E75580"/>
    <w:rsid w:val="00E75800"/>
    <w:rsid w:val="00E75B79"/>
    <w:rsid w:val="00E75E55"/>
    <w:rsid w:val="00E75EA5"/>
    <w:rsid w:val="00E75F95"/>
    <w:rsid w:val="00E761F8"/>
    <w:rsid w:val="00E767E5"/>
    <w:rsid w:val="00E76C09"/>
    <w:rsid w:val="00E772A0"/>
    <w:rsid w:val="00E779B7"/>
    <w:rsid w:val="00E77A64"/>
    <w:rsid w:val="00E77A79"/>
    <w:rsid w:val="00E77BB2"/>
    <w:rsid w:val="00E77CB2"/>
    <w:rsid w:val="00E80382"/>
    <w:rsid w:val="00E80BE1"/>
    <w:rsid w:val="00E80F28"/>
    <w:rsid w:val="00E80F80"/>
    <w:rsid w:val="00E810EE"/>
    <w:rsid w:val="00E811A5"/>
    <w:rsid w:val="00E81895"/>
    <w:rsid w:val="00E81BF5"/>
    <w:rsid w:val="00E823D4"/>
    <w:rsid w:val="00E82656"/>
    <w:rsid w:val="00E82660"/>
    <w:rsid w:val="00E826E6"/>
    <w:rsid w:val="00E82ACB"/>
    <w:rsid w:val="00E82ADC"/>
    <w:rsid w:val="00E82AF2"/>
    <w:rsid w:val="00E82C17"/>
    <w:rsid w:val="00E82FDA"/>
    <w:rsid w:val="00E8318F"/>
    <w:rsid w:val="00E836CD"/>
    <w:rsid w:val="00E83E16"/>
    <w:rsid w:val="00E846A3"/>
    <w:rsid w:val="00E846F8"/>
    <w:rsid w:val="00E8506D"/>
    <w:rsid w:val="00E854F4"/>
    <w:rsid w:val="00E85BBF"/>
    <w:rsid w:val="00E85F71"/>
    <w:rsid w:val="00E868D4"/>
    <w:rsid w:val="00E86F97"/>
    <w:rsid w:val="00E87208"/>
    <w:rsid w:val="00E8761E"/>
    <w:rsid w:val="00E87655"/>
    <w:rsid w:val="00E876D3"/>
    <w:rsid w:val="00E877AE"/>
    <w:rsid w:val="00E87DD3"/>
    <w:rsid w:val="00E900C4"/>
    <w:rsid w:val="00E90260"/>
    <w:rsid w:val="00E910DE"/>
    <w:rsid w:val="00E913B5"/>
    <w:rsid w:val="00E91975"/>
    <w:rsid w:val="00E91BC4"/>
    <w:rsid w:val="00E92063"/>
    <w:rsid w:val="00E92360"/>
    <w:rsid w:val="00E924EA"/>
    <w:rsid w:val="00E92762"/>
    <w:rsid w:val="00E92B9C"/>
    <w:rsid w:val="00E92E38"/>
    <w:rsid w:val="00E938B7"/>
    <w:rsid w:val="00E94B55"/>
    <w:rsid w:val="00E94C6A"/>
    <w:rsid w:val="00E94FBE"/>
    <w:rsid w:val="00E952C7"/>
    <w:rsid w:val="00E9536D"/>
    <w:rsid w:val="00E96044"/>
    <w:rsid w:val="00E9686B"/>
    <w:rsid w:val="00E96979"/>
    <w:rsid w:val="00E96A34"/>
    <w:rsid w:val="00E97769"/>
    <w:rsid w:val="00E97A27"/>
    <w:rsid w:val="00E97C63"/>
    <w:rsid w:val="00E97D58"/>
    <w:rsid w:val="00EA031E"/>
    <w:rsid w:val="00EA0479"/>
    <w:rsid w:val="00EA086F"/>
    <w:rsid w:val="00EA0899"/>
    <w:rsid w:val="00EA0B59"/>
    <w:rsid w:val="00EA0E43"/>
    <w:rsid w:val="00EA0F56"/>
    <w:rsid w:val="00EA0FD5"/>
    <w:rsid w:val="00EA13BA"/>
    <w:rsid w:val="00EA1662"/>
    <w:rsid w:val="00EA1BC3"/>
    <w:rsid w:val="00EA1F56"/>
    <w:rsid w:val="00EA2618"/>
    <w:rsid w:val="00EA265B"/>
    <w:rsid w:val="00EA2BD7"/>
    <w:rsid w:val="00EA3134"/>
    <w:rsid w:val="00EA33EB"/>
    <w:rsid w:val="00EA34D1"/>
    <w:rsid w:val="00EA35C7"/>
    <w:rsid w:val="00EA37AC"/>
    <w:rsid w:val="00EA3F5B"/>
    <w:rsid w:val="00EA446F"/>
    <w:rsid w:val="00EA48C8"/>
    <w:rsid w:val="00EA4ED8"/>
    <w:rsid w:val="00EA5453"/>
    <w:rsid w:val="00EA545C"/>
    <w:rsid w:val="00EA555A"/>
    <w:rsid w:val="00EA566E"/>
    <w:rsid w:val="00EA5801"/>
    <w:rsid w:val="00EA5D79"/>
    <w:rsid w:val="00EA641C"/>
    <w:rsid w:val="00EA6436"/>
    <w:rsid w:val="00EA6878"/>
    <w:rsid w:val="00EA6959"/>
    <w:rsid w:val="00EA6C6E"/>
    <w:rsid w:val="00EA6D15"/>
    <w:rsid w:val="00EA776C"/>
    <w:rsid w:val="00EA7968"/>
    <w:rsid w:val="00EA7B3F"/>
    <w:rsid w:val="00EA7EA2"/>
    <w:rsid w:val="00EA7F4F"/>
    <w:rsid w:val="00EB00B3"/>
    <w:rsid w:val="00EB03E4"/>
    <w:rsid w:val="00EB0990"/>
    <w:rsid w:val="00EB09C9"/>
    <w:rsid w:val="00EB16B2"/>
    <w:rsid w:val="00EB17D2"/>
    <w:rsid w:val="00EB2532"/>
    <w:rsid w:val="00EB2536"/>
    <w:rsid w:val="00EB2ED8"/>
    <w:rsid w:val="00EB2F6E"/>
    <w:rsid w:val="00EB341D"/>
    <w:rsid w:val="00EB3740"/>
    <w:rsid w:val="00EB39B4"/>
    <w:rsid w:val="00EB3A2E"/>
    <w:rsid w:val="00EB3DA7"/>
    <w:rsid w:val="00EB3EE7"/>
    <w:rsid w:val="00EB3FAF"/>
    <w:rsid w:val="00EB401F"/>
    <w:rsid w:val="00EB420D"/>
    <w:rsid w:val="00EB44B1"/>
    <w:rsid w:val="00EB46D7"/>
    <w:rsid w:val="00EB50F0"/>
    <w:rsid w:val="00EB556F"/>
    <w:rsid w:val="00EB564D"/>
    <w:rsid w:val="00EB58A5"/>
    <w:rsid w:val="00EB621C"/>
    <w:rsid w:val="00EB62B8"/>
    <w:rsid w:val="00EB63C9"/>
    <w:rsid w:val="00EB6455"/>
    <w:rsid w:val="00EB6781"/>
    <w:rsid w:val="00EB684C"/>
    <w:rsid w:val="00EB6D9F"/>
    <w:rsid w:val="00EB74D7"/>
    <w:rsid w:val="00EB7501"/>
    <w:rsid w:val="00EB772E"/>
    <w:rsid w:val="00EB78D8"/>
    <w:rsid w:val="00EB794D"/>
    <w:rsid w:val="00EB79E1"/>
    <w:rsid w:val="00EB7AAE"/>
    <w:rsid w:val="00EB7FCE"/>
    <w:rsid w:val="00EC0050"/>
    <w:rsid w:val="00EC08ED"/>
    <w:rsid w:val="00EC0EC0"/>
    <w:rsid w:val="00EC144F"/>
    <w:rsid w:val="00EC1A92"/>
    <w:rsid w:val="00EC1BCA"/>
    <w:rsid w:val="00EC1DE0"/>
    <w:rsid w:val="00EC20F5"/>
    <w:rsid w:val="00EC22AA"/>
    <w:rsid w:val="00EC22FE"/>
    <w:rsid w:val="00EC2B98"/>
    <w:rsid w:val="00EC2D64"/>
    <w:rsid w:val="00EC377F"/>
    <w:rsid w:val="00EC3BE2"/>
    <w:rsid w:val="00EC42EE"/>
    <w:rsid w:val="00EC483D"/>
    <w:rsid w:val="00EC48D1"/>
    <w:rsid w:val="00EC4980"/>
    <w:rsid w:val="00EC4F70"/>
    <w:rsid w:val="00EC56BD"/>
    <w:rsid w:val="00EC59A0"/>
    <w:rsid w:val="00EC602A"/>
    <w:rsid w:val="00EC6165"/>
    <w:rsid w:val="00EC61C9"/>
    <w:rsid w:val="00EC6518"/>
    <w:rsid w:val="00EC691E"/>
    <w:rsid w:val="00EC696C"/>
    <w:rsid w:val="00EC6A25"/>
    <w:rsid w:val="00EC6A92"/>
    <w:rsid w:val="00EC6C38"/>
    <w:rsid w:val="00EC707B"/>
    <w:rsid w:val="00EC73DF"/>
    <w:rsid w:val="00EC77A8"/>
    <w:rsid w:val="00ED039D"/>
    <w:rsid w:val="00ED0838"/>
    <w:rsid w:val="00ED0939"/>
    <w:rsid w:val="00ED0B92"/>
    <w:rsid w:val="00ED0C60"/>
    <w:rsid w:val="00ED0F6D"/>
    <w:rsid w:val="00ED0FBB"/>
    <w:rsid w:val="00ED143F"/>
    <w:rsid w:val="00ED1613"/>
    <w:rsid w:val="00ED204B"/>
    <w:rsid w:val="00ED21FE"/>
    <w:rsid w:val="00ED23A2"/>
    <w:rsid w:val="00ED279E"/>
    <w:rsid w:val="00ED2A9C"/>
    <w:rsid w:val="00ED2D60"/>
    <w:rsid w:val="00ED307A"/>
    <w:rsid w:val="00ED3346"/>
    <w:rsid w:val="00ED36A7"/>
    <w:rsid w:val="00ED3982"/>
    <w:rsid w:val="00ED40E2"/>
    <w:rsid w:val="00ED44B9"/>
    <w:rsid w:val="00ED496F"/>
    <w:rsid w:val="00ED4CC7"/>
    <w:rsid w:val="00ED4D6D"/>
    <w:rsid w:val="00ED5D6B"/>
    <w:rsid w:val="00ED5E5D"/>
    <w:rsid w:val="00ED6F01"/>
    <w:rsid w:val="00ED6F84"/>
    <w:rsid w:val="00ED71F1"/>
    <w:rsid w:val="00ED7CE7"/>
    <w:rsid w:val="00EE02A3"/>
    <w:rsid w:val="00EE0986"/>
    <w:rsid w:val="00EE0B19"/>
    <w:rsid w:val="00EE0F99"/>
    <w:rsid w:val="00EE1031"/>
    <w:rsid w:val="00EE10E0"/>
    <w:rsid w:val="00EE1921"/>
    <w:rsid w:val="00EE1A79"/>
    <w:rsid w:val="00EE2080"/>
    <w:rsid w:val="00EE2345"/>
    <w:rsid w:val="00EE271C"/>
    <w:rsid w:val="00EE28D7"/>
    <w:rsid w:val="00EE2967"/>
    <w:rsid w:val="00EE2A86"/>
    <w:rsid w:val="00EE2B46"/>
    <w:rsid w:val="00EE2DF1"/>
    <w:rsid w:val="00EE3406"/>
    <w:rsid w:val="00EE38C8"/>
    <w:rsid w:val="00EE3931"/>
    <w:rsid w:val="00EE3B9B"/>
    <w:rsid w:val="00EE3F9E"/>
    <w:rsid w:val="00EE43F3"/>
    <w:rsid w:val="00EE48F5"/>
    <w:rsid w:val="00EE4AC9"/>
    <w:rsid w:val="00EE4CEF"/>
    <w:rsid w:val="00EE52DF"/>
    <w:rsid w:val="00EE5C92"/>
    <w:rsid w:val="00EE5E93"/>
    <w:rsid w:val="00EE74F3"/>
    <w:rsid w:val="00EE754C"/>
    <w:rsid w:val="00EE7ED3"/>
    <w:rsid w:val="00EF04A8"/>
    <w:rsid w:val="00EF0908"/>
    <w:rsid w:val="00EF0D50"/>
    <w:rsid w:val="00EF1150"/>
    <w:rsid w:val="00EF1519"/>
    <w:rsid w:val="00EF1700"/>
    <w:rsid w:val="00EF1944"/>
    <w:rsid w:val="00EF1A40"/>
    <w:rsid w:val="00EF2886"/>
    <w:rsid w:val="00EF2AD4"/>
    <w:rsid w:val="00EF30F5"/>
    <w:rsid w:val="00EF3830"/>
    <w:rsid w:val="00EF387F"/>
    <w:rsid w:val="00EF3CDA"/>
    <w:rsid w:val="00EF44D2"/>
    <w:rsid w:val="00EF46CF"/>
    <w:rsid w:val="00EF5115"/>
    <w:rsid w:val="00EF516A"/>
    <w:rsid w:val="00EF520C"/>
    <w:rsid w:val="00EF529C"/>
    <w:rsid w:val="00EF5607"/>
    <w:rsid w:val="00EF56A1"/>
    <w:rsid w:val="00EF5A18"/>
    <w:rsid w:val="00EF5CE1"/>
    <w:rsid w:val="00EF6349"/>
    <w:rsid w:val="00EF70F1"/>
    <w:rsid w:val="00EF74BC"/>
    <w:rsid w:val="00EF75FE"/>
    <w:rsid w:val="00EF77B2"/>
    <w:rsid w:val="00EF79D0"/>
    <w:rsid w:val="00EF7ADD"/>
    <w:rsid w:val="00EF7C1C"/>
    <w:rsid w:val="00EF7D66"/>
    <w:rsid w:val="00EF7DD6"/>
    <w:rsid w:val="00F00847"/>
    <w:rsid w:val="00F00B41"/>
    <w:rsid w:val="00F00BC5"/>
    <w:rsid w:val="00F00EB9"/>
    <w:rsid w:val="00F01177"/>
    <w:rsid w:val="00F015E4"/>
    <w:rsid w:val="00F01768"/>
    <w:rsid w:val="00F01A45"/>
    <w:rsid w:val="00F01B5B"/>
    <w:rsid w:val="00F02359"/>
    <w:rsid w:val="00F0268C"/>
    <w:rsid w:val="00F0284F"/>
    <w:rsid w:val="00F0285B"/>
    <w:rsid w:val="00F02A14"/>
    <w:rsid w:val="00F02C42"/>
    <w:rsid w:val="00F03212"/>
    <w:rsid w:val="00F0322E"/>
    <w:rsid w:val="00F03487"/>
    <w:rsid w:val="00F03B21"/>
    <w:rsid w:val="00F03C34"/>
    <w:rsid w:val="00F03D5A"/>
    <w:rsid w:val="00F04DD5"/>
    <w:rsid w:val="00F04E67"/>
    <w:rsid w:val="00F04F2F"/>
    <w:rsid w:val="00F04FB5"/>
    <w:rsid w:val="00F050D9"/>
    <w:rsid w:val="00F058A4"/>
    <w:rsid w:val="00F058D6"/>
    <w:rsid w:val="00F065FD"/>
    <w:rsid w:val="00F06B59"/>
    <w:rsid w:val="00F06CC2"/>
    <w:rsid w:val="00F07218"/>
    <w:rsid w:val="00F07271"/>
    <w:rsid w:val="00F078D4"/>
    <w:rsid w:val="00F07B76"/>
    <w:rsid w:val="00F07DEF"/>
    <w:rsid w:val="00F100D0"/>
    <w:rsid w:val="00F10882"/>
    <w:rsid w:val="00F10A52"/>
    <w:rsid w:val="00F11587"/>
    <w:rsid w:val="00F11909"/>
    <w:rsid w:val="00F11A28"/>
    <w:rsid w:val="00F11FAB"/>
    <w:rsid w:val="00F12291"/>
    <w:rsid w:val="00F138AD"/>
    <w:rsid w:val="00F13EB6"/>
    <w:rsid w:val="00F14641"/>
    <w:rsid w:val="00F148A4"/>
    <w:rsid w:val="00F153ED"/>
    <w:rsid w:val="00F1560E"/>
    <w:rsid w:val="00F1579F"/>
    <w:rsid w:val="00F158F8"/>
    <w:rsid w:val="00F15F18"/>
    <w:rsid w:val="00F164B3"/>
    <w:rsid w:val="00F16D67"/>
    <w:rsid w:val="00F16F6B"/>
    <w:rsid w:val="00F16F9D"/>
    <w:rsid w:val="00F17580"/>
    <w:rsid w:val="00F17618"/>
    <w:rsid w:val="00F17897"/>
    <w:rsid w:val="00F17A04"/>
    <w:rsid w:val="00F17BDF"/>
    <w:rsid w:val="00F20273"/>
    <w:rsid w:val="00F20B35"/>
    <w:rsid w:val="00F20E7B"/>
    <w:rsid w:val="00F21081"/>
    <w:rsid w:val="00F21388"/>
    <w:rsid w:val="00F2140B"/>
    <w:rsid w:val="00F21581"/>
    <w:rsid w:val="00F2197B"/>
    <w:rsid w:val="00F219EB"/>
    <w:rsid w:val="00F21A7E"/>
    <w:rsid w:val="00F225A3"/>
    <w:rsid w:val="00F225ED"/>
    <w:rsid w:val="00F225F6"/>
    <w:rsid w:val="00F22898"/>
    <w:rsid w:val="00F22E50"/>
    <w:rsid w:val="00F22F28"/>
    <w:rsid w:val="00F23510"/>
    <w:rsid w:val="00F236A1"/>
    <w:rsid w:val="00F236A2"/>
    <w:rsid w:val="00F23B0C"/>
    <w:rsid w:val="00F24137"/>
    <w:rsid w:val="00F24215"/>
    <w:rsid w:val="00F2424F"/>
    <w:rsid w:val="00F24389"/>
    <w:rsid w:val="00F24437"/>
    <w:rsid w:val="00F2485E"/>
    <w:rsid w:val="00F24A31"/>
    <w:rsid w:val="00F2544C"/>
    <w:rsid w:val="00F259FD"/>
    <w:rsid w:val="00F263BC"/>
    <w:rsid w:val="00F26875"/>
    <w:rsid w:val="00F2693F"/>
    <w:rsid w:val="00F26E1A"/>
    <w:rsid w:val="00F27308"/>
    <w:rsid w:val="00F273B9"/>
    <w:rsid w:val="00F275F1"/>
    <w:rsid w:val="00F27603"/>
    <w:rsid w:val="00F2787A"/>
    <w:rsid w:val="00F27A71"/>
    <w:rsid w:val="00F30060"/>
    <w:rsid w:val="00F3006C"/>
    <w:rsid w:val="00F3083A"/>
    <w:rsid w:val="00F3099A"/>
    <w:rsid w:val="00F30DFD"/>
    <w:rsid w:val="00F30F51"/>
    <w:rsid w:val="00F31104"/>
    <w:rsid w:val="00F3113C"/>
    <w:rsid w:val="00F31E50"/>
    <w:rsid w:val="00F32EE3"/>
    <w:rsid w:val="00F32F17"/>
    <w:rsid w:val="00F3371E"/>
    <w:rsid w:val="00F3382E"/>
    <w:rsid w:val="00F338BB"/>
    <w:rsid w:val="00F33A2E"/>
    <w:rsid w:val="00F33DF9"/>
    <w:rsid w:val="00F33EE6"/>
    <w:rsid w:val="00F3410F"/>
    <w:rsid w:val="00F34514"/>
    <w:rsid w:val="00F345B0"/>
    <w:rsid w:val="00F34863"/>
    <w:rsid w:val="00F34A2A"/>
    <w:rsid w:val="00F34A58"/>
    <w:rsid w:val="00F34BBC"/>
    <w:rsid w:val="00F34F20"/>
    <w:rsid w:val="00F3587C"/>
    <w:rsid w:val="00F35956"/>
    <w:rsid w:val="00F359A9"/>
    <w:rsid w:val="00F35AFA"/>
    <w:rsid w:val="00F35C6D"/>
    <w:rsid w:val="00F35F71"/>
    <w:rsid w:val="00F3603D"/>
    <w:rsid w:val="00F36202"/>
    <w:rsid w:val="00F36AEB"/>
    <w:rsid w:val="00F36E38"/>
    <w:rsid w:val="00F37230"/>
    <w:rsid w:val="00F37A66"/>
    <w:rsid w:val="00F37FC1"/>
    <w:rsid w:val="00F405F8"/>
    <w:rsid w:val="00F40600"/>
    <w:rsid w:val="00F4077C"/>
    <w:rsid w:val="00F40DB6"/>
    <w:rsid w:val="00F41194"/>
    <w:rsid w:val="00F4141C"/>
    <w:rsid w:val="00F417AA"/>
    <w:rsid w:val="00F41AB8"/>
    <w:rsid w:val="00F42185"/>
    <w:rsid w:val="00F42408"/>
    <w:rsid w:val="00F429C0"/>
    <w:rsid w:val="00F42B6B"/>
    <w:rsid w:val="00F42DC5"/>
    <w:rsid w:val="00F42E10"/>
    <w:rsid w:val="00F4362D"/>
    <w:rsid w:val="00F43E46"/>
    <w:rsid w:val="00F440CF"/>
    <w:rsid w:val="00F4416B"/>
    <w:rsid w:val="00F44636"/>
    <w:rsid w:val="00F44659"/>
    <w:rsid w:val="00F44CC6"/>
    <w:rsid w:val="00F453D5"/>
    <w:rsid w:val="00F458C7"/>
    <w:rsid w:val="00F45A2D"/>
    <w:rsid w:val="00F45C5C"/>
    <w:rsid w:val="00F46BC6"/>
    <w:rsid w:val="00F46ECF"/>
    <w:rsid w:val="00F474A5"/>
    <w:rsid w:val="00F47C1D"/>
    <w:rsid w:val="00F50837"/>
    <w:rsid w:val="00F50C8A"/>
    <w:rsid w:val="00F510E7"/>
    <w:rsid w:val="00F51484"/>
    <w:rsid w:val="00F52218"/>
    <w:rsid w:val="00F52436"/>
    <w:rsid w:val="00F52527"/>
    <w:rsid w:val="00F5270F"/>
    <w:rsid w:val="00F5296B"/>
    <w:rsid w:val="00F52DFB"/>
    <w:rsid w:val="00F52F9C"/>
    <w:rsid w:val="00F535E9"/>
    <w:rsid w:val="00F53978"/>
    <w:rsid w:val="00F53D8A"/>
    <w:rsid w:val="00F53F26"/>
    <w:rsid w:val="00F542A9"/>
    <w:rsid w:val="00F544D2"/>
    <w:rsid w:val="00F545BA"/>
    <w:rsid w:val="00F5468C"/>
    <w:rsid w:val="00F54DEE"/>
    <w:rsid w:val="00F54E29"/>
    <w:rsid w:val="00F5532E"/>
    <w:rsid w:val="00F556E7"/>
    <w:rsid w:val="00F55BC5"/>
    <w:rsid w:val="00F55D61"/>
    <w:rsid w:val="00F55ECA"/>
    <w:rsid w:val="00F56296"/>
    <w:rsid w:val="00F56375"/>
    <w:rsid w:val="00F56A15"/>
    <w:rsid w:val="00F56B8E"/>
    <w:rsid w:val="00F56CA0"/>
    <w:rsid w:val="00F56F10"/>
    <w:rsid w:val="00F56F90"/>
    <w:rsid w:val="00F57220"/>
    <w:rsid w:val="00F57A21"/>
    <w:rsid w:val="00F57DAF"/>
    <w:rsid w:val="00F6035F"/>
    <w:rsid w:val="00F608C2"/>
    <w:rsid w:val="00F60E5F"/>
    <w:rsid w:val="00F611CD"/>
    <w:rsid w:val="00F6221B"/>
    <w:rsid w:val="00F62522"/>
    <w:rsid w:val="00F6275C"/>
    <w:rsid w:val="00F629D9"/>
    <w:rsid w:val="00F62BA2"/>
    <w:rsid w:val="00F6363F"/>
    <w:rsid w:val="00F6380B"/>
    <w:rsid w:val="00F63822"/>
    <w:rsid w:val="00F638D4"/>
    <w:rsid w:val="00F63D70"/>
    <w:rsid w:val="00F63F77"/>
    <w:rsid w:val="00F64C9F"/>
    <w:rsid w:val="00F65041"/>
    <w:rsid w:val="00F651B3"/>
    <w:rsid w:val="00F655AB"/>
    <w:rsid w:val="00F65653"/>
    <w:rsid w:val="00F65C60"/>
    <w:rsid w:val="00F65F24"/>
    <w:rsid w:val="00F65FA9"/>
    <w:rsid w:val="00F65FD3"/>
    <w:rsid w:val="00F661AC"/>
    <w:rsid w:val="00F66655"/>
    <w:rsid w:val="00F667F1"/>
    <w:rsid w:val="00F668D7"/>
    <w:rsid w:val="00F66941"/>
    <w:rsid w:val="00F669B4"/>
    <w:rsid w:val="00F66B11"/>
    <w:rsid w:val="00F66C07"/>
    <w:rsid w:val="00F674B9"/>
    <w:rsid w:val="00F67DF4"/>
    <w:rsid w:val="00F70148"/>
    <w:rsid w:val="00F7055F"/>
    <w:rsid w:val="00F70921"/>
    <w:rsid w:val="00F70A0E"/>
    <w:rsid w:val="00F70E18"/>
    <w:rsid w:val="00F70EA0"/>
    <w:rsid w:val="00F712AD"/>
    <w:rsid w:val="00F713CF"/>
    <w:rsid w:val="00F714BB"/>
    <w:rsid w:val="00F718DB"/>
    <w:rsid w:val="00F71E1E"/>
    <w:rsid w:val="00F71EA8"/>
    <w:rsid w:val="00F71FB6"/>
    <w:rsid w:val="00F72238"/>
    <w:rsid w:val="00F723BF"/>
    <w:rsid w:val="00F7278A"/>
    <w:rsid w:val="00F728CB"/>
    <w:rsid w:val="00F729D4"/>
    <w:rsid w:val="00F72A2B"/>
    <w:rsid w:val="00F731AA"/>
    <w:rsid w:val="00F731B5"/>
    <w:rsid w:val="00F73B01"/>
    <w:rsid w:val="00F73F95"/>
    <w:rsid w:val="00F73FAF"/>
    <w:rsid w:val="00F7416C"/>
    <w:rsid w:val="00F74A82"/>
    <w:rsid w:val="00F74BA4"/>
    <w:rsid w:val="00F74F3F"/>
    <w:rsid w:val="00F75067"/>
    <w:rsid w:val="00F7509B"/>
    <w:rsid w:val="00F751C2"/>
    <w:rsid w:val="00F75211"/>
    <w:rsid w:val="00F7545E"/>
    <w:rsid w:val="00F75551"/>
    <w:rsid w:val="00F7561A"/>
    <w:rsid w:val="00F75876"/>
    <w:rsid w:val="00F7610B"/>
    <w:rsid w:val="00F76322"/>
    <w:rsid w:val="00F76669"/>
    <w:rsid w:val="00F76E70"/>
    <w:rsid w:val="00F76F24"/>
    <w:rsid w:val="00F76F31"/>
    <w:rsid w:val="00F77290"/>
    <w:rsid w:val="00F77537"/>
    <w:rsid w:val="00F800D4"/>
    <w:rsid w:val="00F8047F"/>
    <w:rsid w:val="00F807D9"/>
    <w:rsid w:val="00F80A54"/>
    <w:rsid w:val="00F80AF1"/>
    <w:rsid w:val="00F80BB7"/>
    <w:rsid w:val="00F80C82"/>
    <w:rsid w:val="00F80D47"/>
    <w:rsid w:val="00F80E6D"/>
    <w:rsid w:val="00F81071"/>
    <w:rsid w:val="00F812D0"/>
    <w:rsid w:val="00F8139C"/>
    <w:rsid w:val="00F819F8"/>
    <w:rsid w:val="00F81A12"/>
    <w:rsid w:val="00F81C3A"/>
    <w:rsid w:val="00F81C97"/>
    <w:rsid w:val="00F81DDF"/>
    <w:rsid w:val="00F82943"/>
    <w:rsid w:val="00F8352F"/>
    <w:rsid w:val="00F8374C"/>
    <w:rsid w:val="00F83B3E"/>
    <w:rsid w:val="00F83CAE"/>
    <w:rsid w:val="00F83F22"/>
    <w:rsid w:val="00F840BB"/>
    <w:rsid w:val="00F842AB"/>
    <w:rsid w:val="00F84CBD"/>
    <w:rsid w:val="00F85A0C"/>
    <w:rsid w:val="00F861E4"/>
    <w:rsid w:val="00F86220"/>
    <w:rsid w:val="00F86722"/>
    <w:rsid w:val="00F8688F"/>
    <w:rsid w:val="00F86DDB"/>
    <w:rsid w:val="00F86F45"/>
    <w:rsid w:val="00F8714D"/>
    <w:rsid w:val="00F87354"/>
    <w:rsid w:val="00F87436"/>
    <w:rsid w:val="00F875F2"/>
    <w:rsid w:val="00F877EF"/>
    <w:rsid w:val="00F877F6"/>
    <w:rsid w:val="00F90090"/>
    <w:rsid w:val="00F90792"/>
    <w:rsid w:val="00F908A9"/>
    <w:rsid w:val="00F90A63"/>
    <w:rsid w:val="00F90D3A"/>
    <w:rsid w:val="00F90E2D"/>
    <w:rsid w:val="00F9152F"/>
    <w:rsid w:val="00F915E9"/>
    <w:rsid w:val="00F91671"/>
    <w:rsid w:val="00F923CA"/>
    <w:rsid w:val="00F928E5"/>
    <w:rsid w:val="00F92E27"/>
    <w:rsid w:val="00F933B1"/>
    <w:rsid w:val="00F933C2"/>
    <w:rsid w:val="00F939D7"/>
    <w:rsid w:val="00F93A1F"/>
    <w:rsid w:val="00F93D74"/>
    <w:rsid w:val="00F94078"/>
    <w:rsid w:val="00F9427A"/>
    <w:rsid w:val="00F94586"/>
    <w:rsid w:val="00F94950"/>
    <w:rsid w:val="00F94F2F"/>
    <w:rsid w:val="00F95229"/>
    <w:rsid w:val="00F9531A"/>
    <w:rsid w:val="00F95946"/>
    <w:rsid w:val="00F9638E"/>
    <w:rsid w:val="00F966C5"/>
    <w:rsid w:val="00F96788"/>
    <w:rsid w:val="00F973BC"/>
    <w:rsid w:val="00F9746F"/>
    <w:rsid w:val="00F97677"/>
    <w:rsid w:val="00F977DA"/>
    <w:rsid w:val="00F97928"/>
    <w:rsid w:val="00F97C14"/>
    <w:rsid w:val="00FA0735"/>
    <w:rsid w:val="00FA09E8"/>
    <w:rsid w:val="00FA0A08"/>
    <w:rsid w:val="00FA0C47"/>
    <w:rsid w:val="00FA0F2D"/>
    <w:rsid w:val="00FA17E4"/>
    <w:rsid w:val="00FA1AA5"/>
    <w:rsid w:val="00FA1B04"/>
    <w:rsid w:val="00FA22EB"/>
    <w:rsid w:val="00FA24FF"/>
    <w:rsid w:val="00FA25F7"/>
    <w:rsid w:val="00FA2A79"/>
    <w:rsid w:val="00FA2B29"/>
    <w:rsid w:val="00FA2EBC"/>
    <w:rsid w:val="00FA301D"/>
    <w:rsid w:val="00FA3483"/>
    <w:rsid w:val="00FA34D4"/>
    <w:rsid w:val="00FA3597"/>
    <w:rsid w:val="00FA3C3D"/>
    <w:rsid w:val="00FA41E3"/>
    <w:rsid w:val="00FA4254"/>
    <w:rsid w:val="00FA4C05"/>
    <w:rsid w:val="00FA4C74"/>
    <w:rsid w:val="00FA4EF7"/>
    <w:rsid w:val="00FA5315"/>
    <w:rsid w:val="00FA5A34"/>
    <w:rsid w:val="00FA5BA6"/>
    <w:rsid w:val="00FA5BE8"/>
    <w:rsid w:val="00FA6026"/>
    <w:rsid w:val="00FA61F6"/>
    <w:rsid w:val="00FA6423"/>
    <w:rsid w:val="00FA66A4"/>
    <w:rsid w:val="00FA675E"/>
    <w:rsid w:val="00FA6976"/>
    <w:rsid w:val="00FA6C56"/>
    <w:rsid w:val="00FA7128"/>
    <w:rsid w:val="00FA7268"/>
    <w:rsid w:val="00FA7389"/>
    <w:rsid w:val="00FA7929"/>
    <w:rsid w:val="00FA7AA8"/>
    <w:rsid w:val="00FA7AEC"/>
    <w:rsid w:val="00FA7D9C"/>
    <w:rsid w:val="00FA7E57"/>
    <w:rsid w:val="00FA7EEB"/>
    <w:rsid w:val="00FB05D9"/>
    <w:rsid w:val="00FB069A"/>
    <w:rsid w:val="00FB0804"/>
    <w:rsid w:val="00FB09D6"/>
    <w:rsid w:val="00FB0C9C"/>
    <w:rsid w:val="00FB1736"/>
    <w:rsid w:val="00FB1DB9"/>
    <w:rsid w:val="00FB2271"/>
    <w:rsid w:val="00FB282A"/>
    <w:rsid w:val="00FB2BB0"/>
    <w:rsid w:val="00FB2BD6"/>
    <w:rsid w:val="00FB2CCC"/>
    <w:rsid w:val="00FB2E05"/>
    <w:rsid w:val="00FB2E26"/>
    <w:rsid w:val="00FB33E8"/>
    <w:rsid w:val="00FB346C"/>
    <w:rsid w:val="00FB35CD"/>
    <w:rsid w:val="00FB39F6"/>
    <w:rsid w:val="00FB3AA2"/>
    <w:rsid w:val="00FB3C82"/>
    <w:rsid w:val="00FB3E3E"/>
    <w:rsid w:val="00FB3EB5"/>
    <w:rsid w:val="00FB4253"/>
    <w:rsid w:val="00FB4C3F"/>
    <w:rsid w:val="00FB5486"/>
    <w:rsid w:val="00FB5489"/>
    <w:rsid w:val="00FB563E"/>
    <w:rsid w:val="00FB632F"/>
    <w:rsid w:val="00FB6368"/>
    <w:rsid w:val="00FB66B1"/>
    <w:rsid w:val="00FB68A7"/>
    <w:rsid w:val="00FB6C61"/>
    <w:rsid w:val="00FB71FB"/>
    <w:rsid w:val="00FB749A"/>
    <w:rsid w:val="00FB7BB8"/>
    <w:rsid w:val="00FB7FD4"/>
    <w:rsid w:val="00FC01F7"/>
    <w:rsid w:val="00FC0584"/>
    <w:rsid w:val="00FC0605"/>
    <w:rsid w:val="00FC0740"/>
    <w:rsid w:val="00FC1028"/>
    <w:rsid w:val="00FC1466"/>
    <w:rsid w:val="00FC1A43"/>
    <w:rsid w:val="00FC1A82"/>
    <w:rsid w:val="00FC1D1F"/>
    <w:rsid w:val="00FC206E"/>
    <w:rsid w:val="00FC2222"/>
    <w:rsid w:val="00FC29D4"/>
    <w:rsid w:val="00FC2A96"/>
    <w:rsid w:val="00FC2D03"/>
    <w:rsid w:val="00FC2EA8"/>
    <w:rsid w:val="00FC2F94"/>
    <w:rsid w:val="00FC3031"/>
    <w:rsid w:val="00FC3EA0"/>
    <w:rsid w:val="00FC3FF1"/>
    <w:rsid w:val="00FC41F6"/>
    <w:rsid w:val="00FC4688"/>
    <w:rsid w:val="00FC4E7D"/>
    <w:rsid w:val="00FC5031"/>
    <w:rsid w:val="00FC5058"/>
    <w:rsid w:val="00FC5691"/>
    <w:rsid w:val="00FC56A7"/>
    <w:rsid w:val="00FC58F2"/>
    <w:rsid w:val="00FC5B22"/>
    <w:rsid w:val="00FC5BF8"/>
    <w:rsid w:val="00FC61AD"/>
    <w:rsid w:val="00FC61DE"/>
    <w:rsid w:val="00FC6823"/>
    <w:rsid w:val="00FC707F"/>
    <w:rsid w:val="00FC7686"/>
    <w:rsid w:val="00FC76DA"/>
    <w:rsid w:val="00FC79F7"/>
    <w:rsid w:val="00FC7C09"/>
    <w:rsid w:val="00FD056F"/>
    <w:rsid w:val="00FD05D9"/>
    <w:rsid w:val="00FD07D3"/>
    <w:rsid w:val="00FD0AA4"/>
    <w:rsid w:val="00FD0BBB"/>
    <w:rsid w:val="00FD0CEE"/>
    <w:rsid w:val="00FD0E0A"/>
    <w:rsid w:val="00FD121D"/>
    <w:rsid w:val="00FD1506"/>
    <w:rsid w:val="00FD163F"/>
    <w:rsid w:val="00FD180C"/>
    <w:rsid w:val="00FD1DAE"/>
    <w:rsid w:val="00FD1FEC"/>
    <w:rsid w:val="00FD2278"/>
    <w:rsid w:val="00FD24D0"/>
    <w:rsid w:val="00FD27E6"/>
    <w:rsid w:val="00FD2983"/>
    <w:rsid w:val="00FD2F00"/>
    <w:rsid w:val="00FD2FF2"/>
    <w:rsid w:val="00FD3179"/>
    <w:rsid w:val="00FD35DF"/>
    <w:rsid w:val="00FD42FD"/>
    <w:rsid w:val="00FD49BE"/>
    <w:rsid w:val="00FD51B7"/>
    <w:rsid w:val="00FD5AF6"/>
    <w:rsid w:val="00FD65BA"/>
    <w:rsid w:val="00FD65D0"/>
    <w:rsid w:val="00FD68CD"/>
    <w:rsid w:val="00FD6BC0"/>
    <w:rsid w:val="00FD6D59"/>
    <w:rsid w:val="00FD7002"/>
    <w:rsid w:val="00FD71DD"/>
    <w:rsid w:val="00FD75CD"/>
    <w:rsid w:val="00FD7710"/>
    <w:rsid w:val="00FD7C3D"/>
    <w:rsid w:val="00FE0C4F"/>
    <w:rsid w:val="00FE1481"/>
    <w:rsid w:val="00FE197B"/>
    <w:rsid w:val="00FE1A47"/>
    <w:rsid w:val="00FE1B24"/>
    <w:rsid w:val="00FE28EC"/>
    <w:rsid w:val="00FE2E9A"/>
    <w:rsid w:val="00FE3171"/>
    <w:rsid w:val="00FE34E4"/>
    <w:rsid w:val="00FE3BAD"/>
    <w:rsid w:val="00FE3E59"/>
    <w:rsid w:val="00FE4081"/>
    <w:rsid w:val="00FE42CB"/>
    <w:rsid w:val="00FE4372"/>
    <w:rsid w:val="00FE4BB6"/>
    <w:rsid w:val="00FE4D0B"/>
    <w:rsid w:val="00FE4DBA"/>
    <w:rsid w:val="00FE4F9B"/>
    <w:rsid w:val="00FE5345"/>
    <w:rsid w:val="00FE553F"/>
    <w:rsid w:val="00FE5AE8"/>
    <w:rsid w:val="00FE5E9F"/>
    <w:rsid w:val="00FE5F9F"/>
    <w:rsid w:val="00FE7273"/>
    <w:rsid w:val="00FE7391"/>
    <w:rsid w:val="00FE73B4"/>
    <w:rsid w:val="00FE7DB8"/>
    <w:rsid w:val="00FF0208"/>
    <w:rsid w:val="00FF04B9"/>
    <w:rsid w:val="00FF09A2"/>
    <w:rsid w:val="00FF0BD5"/>
    <w:rsid w:val="00FF1609"/>
    <w:rsid w:val="00FF160F"/>
    <w:rsid w:val="00FF24DE"/>
    <w:rsid w:val="00FF2B8E"/>
    <w:rsid w:val="00FF3506"/>
    <w:rsid w:val="00FF37E1"/>
    <w:rsid w:val="00FF39C1"/>
    <w:rsid w:val="00FF3D2E"/>
    <w:rsid w:val="00FF44DB"/>
    <w:rsid w:val="00FF4DB4"/>
    <w:rsid w:val="00FF503F"/>
    <w:rsid w:val="00FF5104"/>
    <w:rsid w:val="00FF596C"/>
    <w:rsid w:val="00FF5A1A"/>
    <w:rsid w:val="00FF5BBD"/>
    <w:rsid w:val="00FF5C98"/>
    <w:rsid w:val="00FF5F73"/>
    <w:rsid w:val="00FF624B"/>
    <w:rsid w:val="00FF69CA"/>
    <w:rsid w:val="00FF6B82"/>
    <w:rsid w:val="00FF6B98"/>
    <w:rsid w:val="00FF6D87"/>
    <w:rsid w:val="00FF7623"/>
    <w:rsid w:val="00FF7B30"/>
    <w:rsid w:val="00FF7B6D"/>
    <w:rsid w:val="00FF7FCA"/>
  </w:rsids>
  <m:mathPr>
    <m:mathFont m:val="Cambria Math"/>
    <m:brkBin m:val="before"/>
    <m:brkBinSub m:val="--"/>
    <m:smallFrac m:val="0"/>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691EF"/>
  <w15:docId w15:val="{3D98A53F-5F61-4B62-A335-99F32B03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s-G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B4"/>
    <w:pPr>
      <w:spacing w:before="120" w:after="120" w:line="240" w:lineRule="auto"/>
      <w:jc w:val="both"/>
    </w:pPr>
    <w:rPr>
      <w:rFonts w:ascii="Times New Roman" w:hAnsi="Times New Roman"/>
    </w:rPr>
  </w:style>
  <w:style w:type="paragraph" w:styleId="Ttulo1">
    <w:name w:val="heading 1"/>
    <w:basedOn w:val="Normal"/>
    <w:next w:val="Normal"/>
    <w:link w:val="Ttulo1Car"/>
    <w:uiPriority w:val="9"/>
    <w:qFormat/>
    <w:rsid w:val="00D46B6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4"/>
      <w:szCs w:val="22"/>
    </w:rPr>
  </w:style>
  <w:style w:type="paragraph" w:styleId="Ttulo2">
    <w:name w:val="heading 2"/>
    <w:basedOn w:val="Normal"/>
    <w:next w:val="Normal"/>
    <w:link w:val="Ttulo2Car"/>
    <w:uiPriority w:val="9"/>
    <w:unhideWhenUsed/>
    <w:qFormat/>
    <w:rsid w:val="00707EF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707EF0"/>
    <w:pPr>
      <w:pBdr>
        <w:top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rsid w:val="00707EF0"/>
    <w:pPr>
      <w:pBdr>
        <w:top w:val="dotted" w:sz="6" w:space="2" w:color="4F81BD" w:themeColor="accent1"/>
      </w:pBdr>
      <w:spacing w:before="2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rsid w:val="00707EF0"/>
    <w:pPr>
      <w:pBdr>
        <w:bottom w:val="single" w:sz="6" w:space="1" w:color="4F81BD" w:themeColor="accent1"/>
      </w:pBdr>
      <w:spacing w:before="2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rsid w:val="00707EF0"/>
    <w:pPr>
      <w:pBdr>
        <w:bottom w:val="dotted" w:sz="6" w:space="1" w:color="4F81BD" w:themeColor="accent1"/>
      </w:pBdr>
      <w:spacing w:before="2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rsid w:val="00707EF0"/>
    <w:pPr>
      <w:spacing w:before="2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rsid w:val="00707EF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707EF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7EF0"/>
    <w:rPr>
      <w:caps/>
      <w:spacing w:val="15"/>
      <w:shd w:val="clear" w:color="auto" w:fill="DBE5F1" w:themeFill="accent1" w:themeFillTint="33"/>
    </w:rPr>
  </w:style>
  <w:style w:type="paragraph" w:styleId="Prrafodelista">
    <w:name w:val="List Paragraph"/>
    <w:basedOn w:val="Normal"/>
    <w:uiPriority w:val="34"/>
    <w:qFormat/>
    <w:rsid w:val="00E97769"/>
    <w:pPr>
      <w:ind w:left="720"/>
      <w:contextualSpacing/>
    </w:p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cs="Times New Roman"/>
      <w:lang w:eastAsia="es-GT"/>
    </w:rPr>
  </w:style>
  <w:style w:type="paragraph" w:styleId="Textonotapie">
    <w:name w:val="footnote text"/>
    <w:basedOn w:val="Normal"/>
    <w:link w:val="TextonotapieCar"/>
    <w:uiPriority w:val="99"/>
    <w:semiHidden/>
    <w:unhideWhenUsed/>
    <w:rsid w:val="000B5E1C"/>
    <w:rPr>
      <w:rFonts w:eastAsiaTheme="minorHAnsi"/>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707EF0"/>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707EF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707EF0"/>
    <w:rPr>
      <w:rFonts w:asciiTheme="majorHAnsi" w:eastAsiaTheme="majorEastAsia" w:hAnsiTheme="majorHAnsi" w:cstheme="majorBidi"/>
      <w:caps/>
      <w:color w:val="4F81BD" w:themeColor="accent1"/>
      <w:spacing w:val="10"/>
      <w:sz w:val="52"/>
      <w:szCs w:val="52"/>
    </w:rPr>
  </w:style>
  <w:style w:type="paragraph" w:styleId="Subttulo">
    <w:name w:val="Subtitle"/>
    <w:basedOn w:val="Normal"/>
    <w:next w:val="Normal"/>
    <w:link w:val="SubttuloCar"/>
    <w:uiPriority w:val="11"/>
    <w:qFormat/>
    <w:rsid w:val="00707EF0"/>
    <w:pPr>
      <w:spacing w:before="0" w:after="500"/>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707EF0"/>
    <w:rPr>
      <w:caps/>
      <w:color w:val="595959" w:themeColor="text1" w:themeTint="A6"/>
      <w:spacing w:val="10"/>
      <w:sz w:val="21"/>
      <w:szCs w:val="21"/>
    </w:rPr>
  </w:style>
  <w:style w:type="character" w:customStyle="1" w:styleId="Ttulo1Car">
    <w:name w:val="Título 1 Car"/>
    <w:basedOn w:val="Fuentedeprrafopredeter"/>
    <w:link w:val="Ttulo1"/>
    <w:uiPriority w:val="9"/>
    <w:rsid w:val="00D46B67"/>
    <w:rPr>
      <w:rFonts w:ascii="Times New Roman" w:hAnsi="Times New Roman"/>
      <w:caps/>
      <w:color w:val="FFFFFF" w:themeColor="background1"/>
      <w:spacing w:val="15"/>
      <w:sz w:val="24"/>
      <w:szCs w:val="22"/>
      <w:shd w:val="clear" w:color="auto" w:fill="4F81BD" w:themeFill="accent1"/>
    </w:rPr>
  </w:style>
  <w:style w:type="paragraph" w:styleId="TtuloTDC">
    <w:name w:val="TOC Heading"/>
    <w:basedOn w:val="Ttulo1"/>
    <w:next w:val="Normal"/>
    <w:uiPriority w:val="39"/>
    <w:semiHidden/>
    <w:unhideWhenUsed/>
    <w:qFormat/>
    <w:rsid w:val="00707EF0"/>
    <w:pPr>
      <w:outlineLvl w:val="9"/>
    </w:pPr>
  </w:style>
  <w:style w:type="paragraph" w:styleId="TDC1">
    <w:name w:val="toc 1"/>
    <w:basedOn w:val="Normal"/>
    <w:next w:val="Normal"/>
    <w:autoRedefine/>
    <w:uiPriority w:val="39"/>
    <w:unhideWhenUsed/>
    <w:rsid w:val="00136038"/>
    <w:pPr>
      <w:tabs>
        <w:tab w:val="left" w:pos="440"/>
        <w:tab w:val="right" w:leader="dot" w:pos="9394"/>
      </w:tabs>
      <w:spacing w:after="100"/>
    </w:pPr>
    <w:rPr>
      <w:rFonts w:eastAsiaTheme="majorEastAsia" w:cs="Times New Roman"/>
      <w:b/>
      <w:bCs/>
      <w:noProof/>
    </w:rPr>
  </w:style>
  <w:style w:type="paragraph" w:styleId="TDC2">
    <w:name w:val="toc 2"/>
    <w:basedOn w:val="Normal"/>
    <w:next w:val="Normal"/>
    <w:autoRedefine/>
    <w:uiPriority w:val="39"/>
    <w:unhideWhenUsed/>
    <w:rsid w:val="0054409D"/>
    <w:pPr>
      <w:tabs>
        <w:tab w:val="left" w:pos="880"/>
        <w:tab w:val="right" w:leader="dot" w:pos="9356"/>
      </w:tabs>
      <w:spacing w:after="100"/>
      <w:ind w:left="709" w:hanging="567"/>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707EF0"/>
    <w:rPr>
      <w:caps/>
      <w:color w:val="243F60" w:themeColor="accent1" w:themeShade="7F"/>
      <w:spacing w:val="15"/>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54409D"/>
    <w:pPr>
      <w:tabs>
        <w:tab w:val="left" w:pos="1134"/>
        <w:tab w:val="right" w:leader="dot" w:pos="9394"/>
      </w:tabs>
      <w:spacing w:after="100"/>
      <w:ind w:left="1134" w:hanging="708"/>
    </w:pPr>
  </w:style>
  <w:style w:type="paragraph" w:customStyle="1" w:styleId="BodyText2Sgl">
    <w:name w:val="Body Text 2 Sgl"/>
    <w:basedOn w:val="Normal"/>
    <w:rsid w:val="00EE52DF"/>
    <w:pPr>
      <w:spacing w:after="240"/>
      <w:ind w:firstLine="720"/>
    </w:pPr>
    <w:rPr>
      <w:rFonts w:eastAsiaTheme="minorHAnsi"/>
      <w:lang w:val="en-US"/>
    </w:rPr>
  </w:style>
  <w:style w:type="paragraph" w:styleId="Textoindependiente">
    <w:name w:val="Body Text"/>
    <w:basedOn w:val="Normal"/>
    <w:link w:val="TextoindependienteCar"/>
    <w:uiPriority w:val="99"/>
    <w:unhideWhenUsed/>
    <w:rsid w:val="00EE52DF"/>
    <w:pPr>
      <w:spacing w:line="259" w:lineRule="auto"/>
    </w:pPr>
    <w:rPr>
      <w:rFonts w:eastAsiaTheme="minorHAnsi"/>
      <w:szCs w:val="22"/>
    </w:rPr>
  </w:style>
  <w:style w:type="character" w:customStyle="1" w:styleId="TextoindependienteCar">
    <w:name w:val="Texto independiente Car"/>
    <w:basedOn w:val="Fuentedeprrafopredeter"/>
    <w:link w:val="Textoindependiente"/>
    <w:uiPriority w:val="99"/>
    <w:rsid w:val="00EE52DF"/>
  </w:style>
  <w:style w:type="character" w:styleId="Refdecomentario">
    <w:name w:val="annotation reference"/>
    <w:basedOn w:val="Fuentedeprrafopredeter"/>
    <w:uiPriority w:val="99"/>
    <w:semiHidden/>
    <w:unhideWhenUsed/>
    <w:rsid w:val="00082E65"/>
    <w:rPr>
      <w:sz w:val="16"/>
      <w:szCs w:val="16"/>
    </w:rPr>
  </w:style>
  <w:style w:type="paragraph" w:styleId="Textocomentario">
    <w:name w:val="annotation text"/>
    <w:basedOn w:val="Normal"/>
    <w:link w:val="TextocomentarioCar"/>
    <w:uiPriority w:val="99"/>
    <w:unhideWhenUsed/>
    <w:rsid w:val="00082E65"/>
  </w:style>
  <w:style w:type="character" w:customStyle="1" w:styleId="TextocomentarioCar">
    <w:name w:val="Texto comentario Car"/>
    <w:basedOn w:val="Fuentedeprrafopredeter"/>
    <w:link w:val="Textocomentario"/>
    <w:uiPriority w:val="99"/>
    <w:rsid w:val="00082E6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2E65"/>
    <w:rPr>
      <w:b/>
      <w:bCs/>
    </w:rPr>
  </w:style>
  <w:style w:type="character" w:customStyle="1" w:styleId="AsuntodelcomentarioCar">
    <w:name w:val="Asunto del comentario Car"/>
    <w:basedOn w:val="TextocomentarioCar"/>
    <w:link w:val="Asuntodelcomentario"/>
    <w:uiPriority w:val="99"/>
    <w:semiHidden/>
    <w:rsid w:val="00082E65"/>
    <w:rPr>
      <w:rFonts w:eastAsiaTheme="minorEastAsia"/>
      <w:b/>
      <w:bCs/>
      <w:sz w:val="20"/>
      <w:szCs w:val="20"/>
      <w:lang w:val="es-ES_tradnl" w:eastAsia="es-ES"/>
    </w:rPr>
  </w:style>
  <w:style w:type="paragraph" w:styleId="Revisin">
    <w:name w:val="Revision"/>
    <w:hidden/>
    <w:uiPriority w:val="99"/>
    <w:semiHidden/>
    <w:rsid w:val="0054409D"/>
    <w:pPr>
      <w:spacing w:after="0" w:line="240" w:lineRule="auto"/>
    </w:pPr>
    <w:rPr>
      <w:sz w:val="24"/>
      <w:szCs w:val="24"/>
      <w:lang w:val="es-ES_tradnl" w:eastAsia="es-ES"/>
    </w:rPr>
  </w:style>
  <w:style w:type="table" w:styleId="Tablanormal3">
    <w:name w:val="Plain Table 3"/>
    <w:basedOn w:val="Tablanormal"/>
    <w:uiPriority w:val="43"/>
    <w:rsid w:val="00FD31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1">
    <w:name w:val="List Table 7 Colorful Accent 1"/>
    <w:basedOn w:val="Tablanormal"/>
    <w:uiPriority w:val="52"/>
    <w:rsid w:val="00FD317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9B0FEE"/>
    <w:rPr>
      <w:color w:val="808080"/>
    </w:rPr>
  </w:style>
  <w:style w:type="character" w:customStyle="1" w:styleId="Ttulo4Car">
    <w:name w:val="Título 4 Car"/>
    <w:basedOn w:val="Fuentedeprrafopredeter"/>
    <w:link w:val="Ttulo4"/>
    <w:uiPriority w:val="9"/>
    <w:semiHidden/>
    <w:rsid w:val="00707EF0"/>
    <w:rPr>
      <w:caps/>
      <w:color w:val="365F91" w:themeColor="accent1" w:themeShade="BF"/>
      <w:spacing w:val="10"/>
    </w:rPr>
  </w:style>
  <w:style w:type="character" w:customStyle="1" w:styleId="Ttulo5Car">
    <w:name w:val="Título 5 Car"/>
    <w:basedOn w:val="Fuentedeprrafopredeter"/>
    <w:link w:val="Ttulo5"/>
    <w:uiPriority w:val="9"/>
    <w:semiHidden/>
    <w:rsid w:val="00707EF0"/>
    <w:rPr>
      <w:caps/>
      <w:color w:val="365F91" w:themeColor="accent1" w:themeShade="BF"/>
      <w:spacing w:val="10"/>
    </w:rPr>
  </w:style>
  <w:style w:type="character" w:customStyle="1" w:styleId="Ttulo6Car">
    <w:name w:val="Título 6 Car"/>
    <w:basedOn w:val="Fuentedeprrafopredeter"/>
    <w:link w:val="Ttulo6"/>
    <w:uiPriority w:val="9"/>
    <w:semiHidden/>
    <w:rsid w:val="00707EF0"/>
    <w:rPr>
      <w:caps/>
      <w:color w:val="365F91" w:themeColor="accent1" w:themeShade="BF"/>
      <w:spacing w:val="10"/>
    </w:rPr>
  </w:style>
  <w:style w:type="character" w:customStyle="1" w:styleId="Ttulo7Car">
    <w:name w:val="Título 7 Car"/>
    <w:basedOn w:val="Fuentedeprrafopredeter"/>
    <w:link w:val="Ttulo7"/>
    <w:uiPriority w:val="9"/>
    <w:semiHidden/>
    <w:rsid w:val="00707EF0"/>
    <w:rPr>
      <w:caps/>
      <w:color w:val="365F91" w:themeColor="accent1" w:themeShade="BF"/>
      <w:spacing w:val="10"/>
    </w:rPr>
  </w:style>
  <w:style w:type="character" w:customStyle="1" w:styleId="Ttulo8Car">
    <w:name w:val="Título 8 Car"/>
    <w:basedOn w:val="Fuentedeprrafopredeter"/>
    <w:link w:val="Ttulo8"/>
    <w:uiPriority w:val="9"/>
    <w:semiHidden/>
    <w:rsid w:val="00707EF0"/>
    <w:rPr>
      <w:caps/>
      <w:spacing w:val="10"/>
      <w:sz w:val="18"/>
      <w:szCs w:val="18"/>
    </w:rPr>
  </w:style>
  <w:style w:type="character" w:customStyle="1" w:styleId="Ttulo9Car">
    <w:name w:val="Título 9 Car"/>
    <w:basedOn w:val="Fuentedeprrafopredeter"/>
    <w:link w:val="Ttulo9"/>
    <w:uiPriority w:val="9"/>
    <w:semiHidden/>
    <w:rsid w:val="00707EF0"/>
    <w:rPr>
      <w:i/>
      <w:iCs/>
      <w:caps/>
      <w:spacing w:val="10"/>
      <w:sz w:val="18"/>
      <w:szCs w:val="18"/>
    </w:rPr>
  </w:style>
  <w:style w:type="paragraph" w:styleId="Descripcin">
    <w:name w:val="caption"/>
    <w:basedOn w:val="Normal"/>
    <w:next w:val="Normal"/>
    <w:uiPriority w:val="35"/>
    <w:semiHidden/>
    <w:unhideWhenUsed/>
    <w:qFormat/>
    <w:rsid w:val="00707EF0"/>
    <w:rPr>
      <w:b/>
      <w:bCs/>
      <w:color w:val="365F91" w:themeColor="accent1" w:themeShade="BF"/>
      <w:sz w:val="16"/>
      <w:szCs w:val="16"/>
    </w:rPr>
  </w:style>
  <w:style w:type="character" w:styleId="Textoennegrita">
    <w:name w:val="Strong"/>
    <w:uiPriority w:val="22"/>
    <w:qFormat/>
    <w:rsid w:val="00707EF0"/>
    <w:rPr>
      <w:b/>
      <w:bCs/>
    </w:rPr>
  </w:style>
  <w:style w:type="character" w:styleId="nfasis">
    <w:name w:val="Emphasis"/>
    <w:uiPriority w:val="20"/>
    <w:qFormat/>
    <w:rsid w:val="00707EF0"/>
    <w:rPr>
      <w:caps/>
      <w:color w:val="243F60" w:themeColor="accent1" w:themeShade="7F"/>
      <w:spacing w:val="5"/>
    </w:rPr>
  </w:style>
  <w:style w:type="paragraph" w:styleId="Cita">
    <w:name w:val="Quote"/>
    <w:basedOn w:val="Normal"/>
    <w:next w:val="Normal"/>
    <w:link w:val="CitaCar"/>
    <w:uiPriority w:val="29"/>
    <w:qFormat/>
    <w:rsid w:val="00707EF0"/>
    <w:rPr>
      <w:i/>
      <w:iCs/>
      <w:sz w:val="24"/>
      <w:szCs w:val="24"/>
    </w:rPr>
  </w:style>
  <w:style w:type="character" w:customStyle="1" w:styleId="CitaCar">
    <w:name w:val="Cita Car"/>
    <w:basedOn w:val="Fuentedeprrafopredeter"/>
    <w:link w:val="Cita"/>
    <w:uiPriority w:val="29"/>
    <w:rsid w:val="00707EF0"/>
    <w:rPr>
      <w:i/>
      <w:iCs/>
      <w:sz w:val="24"/>
      <w:szCs w:val="24"/>
    </w:rPr>
  </w:style>
  <w:style w:type="paragraph" w:styleId="Citadestacada">
    <w:name w:val="Intense Quote"/>
    <w:basedOn w:val="Normal"/>
    <w:next w:val="Normal"/>
    <w:link w:val="CitadestacadaCar"/>
    <w:uiPriority w:val="30"/>
    <w:qFormat/>
    <w:rsid w:val="00707EF0"/>
    <w:pPr>
      <w:spacing w:before="240" w:after="240"/>
      <w:ind w:left="1080" w:right="1080"/>
      <w:jc w:val="center"/>
    </w:pPr>
    <w:rPr>
      <w:color w:val="4F81BD" w:themeColor="accent1"/>
      <w:sz w:val="24"/>
      <w:szCs w:val="24"/>
    </w:rPr>
  </w:style>
  <w:style w:type="character" w:customStyle="1" w:styleId="CitadestacadaCar">
    <w:name w:val="Cita destacada Car"/>
    <w:basedOn w:val="Fuentedeprrafopredeter"/>
    <w:link w:val="Citadestacada"/>
    <w:uiPriority w:val="30"/>
    <w:rsid w:val="00707EF0"/>
    <w:rPr>
      <w:color w:val="4F81BD" w:themeColor="accent1"/>
      <w:sz w:val="24"/>
      <w:szCs w:val="24"/>
    </w:rPr>
  </w:style>
  <w:style w:type="character" w:styleId="nfasissutil">
    <w:name w:val="Subtle Emphasis"/>
    <w:uiPriority w:val="19"/>
    <w:qFormat/>
    <w:rsid w:val="00707EF0"/>
    <w:rPr>
      <w:i/>
      <w:iCs/>
      <w:color w:val="243F60" w:themeColor="accent1" w:themeShade="7F"/>
    </w:rPr>
  </w:style>
  <w:style w:type="character" w:styleId="nfasisintenso">
    <w:name w:val="Intense Emphasis"/>
    <w:uiPriority w:val="21"/>
    <w:qFormat/>
    <w:rsid w:val="00707EF0"/>
    <w:rPr>
      <w:b/>
      <w:bCs/>
      <w:caps/>
      <w:color w:val="243F60" w:themeColor="accent1" w:themeShade="7F"/>
      <w:spacing w:val="10"/>
    </w:rPr>
  </w:style>
  <w:style w:type="character" w:styleId="Referenciasutil">
    <w:name w:val="Subtle Reference"/>
    <w:uiPriority w:val="31"/>
    <w:qFormat/>
    <w:rsid w:val="00707EF0"/>
    <w:rPr>
      <w:b/>
      <w:bCs/>
      <w:color w:val="4F81BD" w:themeColor="accent1"/>
    </w:rPr>
  </w:style>
  <w:style w:type="character" w:styleId="Referenciaintensa">
    <w:name w:val="Intense Reference"/>
    <w:uiPriority w:val="32"/>
    <w:qFormat/>
    <w:rsid w:val="00707EF0"/>
    <w:rPr>
      <w:b/>
      <w:bCs/>
      <w:i/>
      <w:iCs/>
      <w:caps/>
      <w:color w:val="4F81BD" w:themeColor="accent1"/>
    </w:rPr>
  </w:style>
  <w:style w:type="character" w:styleId="Ttulodellibro">
    <w:name w:val="Book Title"/>
    <w:uiPriority w:val="33"/>
    <w:qFormat/>
    <w:rsid w:val="00707EF0"/>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8699">
      <w:bodyDiv w:val="1"/>
      <w:marLeft w:val="0"/>
      <w:marRight w:val="0"/>
      <w:marTop w:val="0"/>
      <w:marBottom w:val="0"/>
      <w:divBdr>
        <w:top w:val="none" w:sz="0" w:space="0" w:color="auto"/>
        <w:left w:val="none" w:sz="0" w:space="0" w:color="auto"/>
        <w:bottom w:val="none" w:sz="0" w:space="0" w:color="auto"/>
        <w:right w:val="none" w:sz="0" w:space="0" w:color="auto"/>
      </w:divBdr>
    </w:div>
    <w:div w:id="65929884">
      <w:bodyDiv w:val="1"/>
      <w:marLeft w:val="0"/>
      <w:marRight w:val="0"/>
      <w:marTop w:val="0"/>
      <w:marBottom w:val="0"/>
      <w:divBdr>
        <w:top w:val="none" w:sz="0" w:space="0" w:color="auto"/>
        <w:left w:val="none" w:sz="0" w:space="0" w:color="auto"/>
        <w:bottom w:val="none" w:sz="0" w:space="0" w:color="auto"/>
        <w:right w:val="none" w:sz="0" w:space="0" w:color="auto"/>
      </w:divBdr>
    </w:div>
    <w:div w:id="160434060">
      <w:bodyDiv w:val="1"/>
      <w:marLeft w:val="0"/>
      <w:marRight w:val="0"/>
      <w:marTop w:val="0"/>
      <w:marBottom w:val="0"/>
      <w:divBdr>
        <w:top w:val="none" w:sz="0" w:space="0" w:color="auto"/>
        <w:left w:val="none" w:sz="0" w:space="0" w:color="auto"/>
        <w:bottom w:val="none" w:sz="0" w:space="0" w:color="auto"/>
        <w:right w:val="none" w:sz="0" w:space="0" w:color="auto"/>
      </w:divBdr>
      <w:divsChild>
        <w:div w:id="2071878202">
          <w:marLeft w:val="547"/>
          <w:marRight w:val="0"/>
          <w:marTop w:val="0"/>
          <w:marBottom w:val="0"/>
          <w:divBdr>
            <w:top w:val="none" w:sz="0" w:space="0" w:color="auto"/>
            <w:left w:val="none" w:sz="0" w:space="0" w:color="auto"/>
            <w:bottom w:val="none" w:sz="0" w:space="0" w:color="auto"/>
            <w:right w:val="none" w:sz="0" w:space="0" w:color="auto"/>
          </w:divBdr>
        </w:div>
      </w:divsChild>
    </w:div>
    <w:div w:id="206840615">
      <w:bodyDiv w:val="1"/>
      <w:marLeft w:val="0"/>
      <w:marRight w:val="0"/>
      <w:marTop w:val="0"/>
      <w:marBottom w:val="0"/>
      <w:divBdr>
        <w:top w:val="none" w:sz="0" w:space="0" w:color="auto"/>
        <w:left w:val="none" w:sz="0" w:space="0" w:color="auto"/>
        <w:bottom w:val="none" w:sz="0" w:space="0" w:color="auto"/>
        <w:right w:val="none" w:sz="0" w:space="0" w:color="auto"/>
      </w:divBdr>
    </w:div>
    <w:div w:id="208031668">
      <w:bodyDiv w:val="1"/>
      <w:marLeft w:val="0"/>
      <w:marRight w:val="0"/>
      <w:marTop w:val="0"/>
      <w:marBottom w:val="0"/>
      <w:divBdr>
        <w:top w:val="none" w:sz="0" w:space="0" w:color="auto"/>
        <w:left w:val="none" w:sz="0" w:space="0" w:color="auto"/>
        <w:bottom w:val="none" w:sz="0" w:space="0" w:color="auto"/>
        <w:right w:val="none" w:sz="0" w:space="0" w:color="auto"/>
      </w:divBdr>
    </w:div>
    <w:div w:id="275329166">
      <w:bodyDiv w:val="1"/>
      <w:marLeft w:val="0"/>
      <w:marRight w:val="0"/>
      <w:marTop w:val="0"/>
      <w:marBottom w:val="0"/>
      <w:divBdr>
        <w:top w:val="none" w:sz="0" w:space="0" w:color="auto"/>
        <w:left w:val="none" w:sz="0" w:space="0" w:color="auto"/>
        <w:bottom w:val="none" w:sz="0" w:space="0" w:color="auto"/>
        <w:right w:val="none" w:sz="0" w:space="0" w:color="auto"/>
      </w:divBdr>
    </w:div>
    <w:div w:id="281689898">
      <w:bodyDiv w:val="1"/>
      <w:marLeft w:val="0"/>
      <w:marRight w:val="0"/>
      <w:marTop w:val="0"/>
      <w:marBottom w:val="0"/>
      <w:divBdr>
        <w:top w:val="none" w:sz="0" w:space="0" w:color="auto"/>
        <w:left w:val="none" w:sz="0" w:space="0" w:color="auto"/>
        <w:bottom w:val="none" w:sz="0" w:space="0" w:color="auto"/>
        <w:right w:val="none" w:sz="0" w:space="0" w:color="auto"/>
      </w:divBdr>
    </w:div>
    <w:div w:id="289480549">
      <w:bodyDiv w:val="1"/>
      <w:marLeft w:val="0"/>
      <w:marRight w:val="0"/>
      <w:marTop w:val="0"/>
      <w:marBottom w:val="0"/>
      <w:divBdr>
        <w:top w:val="none" w:sz="0" w:space="0" w:color="auto"/>
        <w:left w:val="none" w:sz="0" w:space="0" w:color="auto"/>
        <w:bottom w:val="none" w:sz="0" w:space="0" w:color="auto"/>
        <w:right w:val="none" w:sz="0" w:space="0" w:color="auto"/>
      </w:divBdr>
    </w:div>
    <w:div w:id="310988100">
      <w:bodyDiv w:val="1"/>
      <w:marLeft w:val="0"/>
      <w:marRight w:val="0"/>
      <w:marTop w:val="0"/>
      <w:marBottom w:val="0"/>
      <w:divBdr>
        <w:top w:val="none" w:sz="0" w:space="0" w:color="auto"/>
        <w:left w:val="none" w:sz="0" w:space="0" w:color="auto"/>
        <w:bottom w:val="none" w:sz="0" w:space="0" w:color="auto"/>
        <w:right w:val="none" w:sz="0" w:space="0" w:color="auto"/>
      </w:divBdr>
    </w:div>
    <w:div w:id="352264132">
      <w:bodyDiv w:val="1"/>
      <w:marLeft w:val="0"/>
      <w:marRight w:val="0"/>
      <w:marTop w:val="0"/>
      <w:marBottom w:val="0"/>
      <w:divBdr>
        <w:top w:val="none" w:sz="0" w:space="0" w:color="auto"/>
        <w:left w:val="none" w:sz="0" w:space="0" w:color="auto"/>
        <w:bottom w:val="none" w:sz="0" w:space="0" w:color="auto"/>
        <w:right w:val="none" w:sz="0" w:space="0" w:color="auto"/>
      </w:divBdr>
    </w:div>
    <w:div w:id="395204861">
      <w:bodyDiv w:val="1"/>
      <w:marLeft w:val="0"/>
      <w:marRight w:val="0"/>
      <w:marTop w:val="0"/>
      <w:marBottom w:val="0"/>
      <w:divBdr>
        <w:top w:val="none" w:sz="0" w:space="0" w:color="auto"/>
        <w:left w:val="none" w:sz="0" w:space="0" w:color="auto"/>
        <w:bottom w:val="none" w:sz="0" w:space="0" w:color="auto"/>
        <w:right w:val="none" w:sz="0" w:space="0" w:color="auto"/>
      </w:divBdr>
    </w:div>
    <w:div w:id="447234801">
      <w:bodyDiv w:val="1"/>
      <w:marLeft w:val="0"/>
      <w:marRight w:val="0"/>
      <w:marTop w:val="0"/>
      <w:marBottom w:val="0"/>
      <w:divBdr>
        <w:top w:val="none" w:sz="0" w:space="0" w:color="auto"/>
        <w:left w:val="none" w:sz="0" w:space="0" w:color="auto"/>
        <w:bottom w:val="none" w:sz="0" w:space="0" w:color="auto"/>
        <w:right w:val="none" w:sz="0" w:space="0" w:color="auto"/>
      </w:divBdr>
    </w:div>
    <w:div w:id="447435137">
      <w:bodyDiv w:val="1"/>
      <w:marLeft w:val="0"/>
      <w:marRight w:val="0"/>
      <w:marTop w:val="0"/>
      <w:marBottom w:val="0"/>
      <w:divBdr>
        <w:top w:val="none" w:sz="0" w:space="0" w:color="auto"/>
        <w:left w:val="none" w:sz="0" w:space="0" w:color="auto"/>
        <w:bottom w:val="none" w:sz="0" w:space="0" w:color="auto"/>
        <w:right w:val="none" w:sz="0" w:space="0" w:color="auto"/>
      </w:divBdr>
    </w:div>
    <w:div w:id="452797015">
      <w:bodyDiv w:val="1"/>
      <w:marLeft w:val="0"/>
      <w:marRight w:val="0"/>
      <w:marTop w:val="0"/>
      <w:marBottom w:val="0"/>
      <w:divBdr>
        <w:top w:val="none" w:sz="0" w:space="0" w:color="auto"/>
        <w:left w:val="none" w:sz="0" w:space="0" w:color="auto"/>
        <w:bottom w:val="none" w:sz="0" w:space="0" w:color="auto"/>
        <w:right w:val="none" w:sz="0" w:space="0" w:color="auto"/>
      </w:divBdr>
    </w:div>
    <w:div w:id="486481220">
      <w:bodyDiv w:val="1"/>
      <w:marLeft w:val="0"/>
      <w:marRight w:val="0"/>
      <w:marTop w:val="0"/>
      <w:marBottom w:val="0"/>
      <w:divBdr>
        <w:top w:val="none" w:sz="0" w:space="0" w:color="auto"/>
        <w:left w:val="none" w:sz="0" w:space="0" w:color="auto"/>
        <w:bottom w:val="none" w:sz="0" w:space="0" w:color="auto"/>
        <w:right w:val="none" w:sz="0" w:space="0" w:color="auto"/>
      </w:divBdr>
    </w:div>
    <w:div w:id="493037860">
      <w:bodyDiv w:val="1"/>
      <w:marLeft w:val="0"/>
      <w:marRight w:val="0"/>
      <w:marTop w:val="0"/>
      <w:marBottom w:val="0"/>
      <w:divBdr>
        <w:top w:val="none" w:sz="0" w:space="0" w:color="auto"/>
        <w:left w:val="none" w:sz="0" w:space="0" w:color="auto"/>
        <w:bottom w:val="none" w:sz="0" w:space="0" w:color="auto"/>
        <w:right w:val="none" w:sz="0" w:space="0" w:color="auto"/>
      </w:divBdr>
    </w:div>
    <w:div w:id="493572656">
      <w:bodyDiv w:val="1"/>
      <w:marLeft w:val="0"/>
      <w:marRight w:val="0"/>
      <w:marTop w:val="0"/>
      <w:marBottom w:val="0"/>
      <w:divBdr>
        <w:top w:val="none" w:sz="0" w:space="0" w:color="auto"/>
        <w:left w:val="none" w:sz="0" w:space="0" w:color="auto"/>
        <w:bottom w:val="none" w:sz="0" w:space="0" w:color="auto"/>
        <w:right w:val="none" w:sz="0" w:space="0" w:color="auto"/>
      </w:divBdr>
    </w:div>
    <w:div w:id="551356417">
      <w:bodyDiv w:val="1"/>
      <w:marLeft w:val="0"/>
      <w:marRight w:val="0"/>
      <w:marTop w:val="0"/>
      <w:marBottom w:val="0"/>
      <w:divBdr>
        <w:top w:val="none" w:sz="0" w:space="0" w:color="auto"/>
        <w:left w:val="none" w:sz="0" w:space="0" w:color="auto"/>
        <w:bottom w:val="none" w:sz="0" w:space="0" w:color="auto"/>
        <w:right w:val="none" w:sz="0" w:space="0" w:color="auto"/>
      </w:divBdr>
    </w:div>
    <w:div w:id="589584651">
      <w:bodyDiv w:val="1"/>
      <w:marLeft w:val="0"/>
      <w:marRight w:val="0"/>
      <w:marTop w:val="0"/>
      <w:marBottom w:val="0"/>
      <w:divBdr>
        <w:top w:val="none" w:sz="0" w:space="0" w:color="auto"/>
        <w:left w:val="none" w:sz="0" w:space="0" w:color="auto"/>
        <w:bottom w:val="none" w:sz="0" w:space="0" w:color="auto"/>
        <w:right w:val="none" w:sz="0" w:space="0" w:color="auto"/>
      </w:divBdr>
    </w:div>
    <w:div w:id="641885873">
      <w:bodyDiv w:val="1"/>
      <w:marLeft w:val="0"/>
      <w:marRight w:val="0"/>
      <w:marTop w:val="0"/>
      <w:marBottom w:val="0"/>
      <w:divBdr>
        <w:top w:val="none" w:sz="0" w:space="0" w:color="auto"/>
        <w:left w:val="none" w:sz="0" w:space="0" w:color="auto"/>
        <w:bottom w:val="none" w:sz="0" w:space="0" w:color="auto"/>
        <w:right w:val="none" w:sz="0" w:space="0" w:color="auto"/>
      </w:divBdr>
    </w:div>
    <w:div w:id="672680472">
      <w:bodyDiv w:val="1"/>
      <w:marLeft w:val="0"/>
      <w:marRight w:val="0"/>
      <w:marTop w:val="0"/>
      <w:marBottom w:val="0"/>
      <w:divBdr>
        <w:top w:val="none" w:sz="0" w:space="0" w:color="auto"/>
        <w:left w:val="none" w:sz="0" w:space="0" w:color="auto"/>
        <w:bottom w:val="none" w:sz="0" w:space="0" w:color="auto"/>
        <w:right w:val="none" w:sz="0" w:space="0" w:color="auto"/>
      </w:divBdr>
    </w:div>
    <w:div w:id="694312612">
      <w:bodyDiv w:val="1"/>
      <w:marLeft w:val="0"/>
      <w:marRight w:val="0"/>
      <w:marTop w:val="0"/>
      <w:marBottom w:val="0"/>
      <w:divBdr>
        <w:top w:val="none" w:sz="0" w:space="0" w:color="auto"/>
        <w:left w:val="none" w:sz="0" w:space="0" w:color="auto"/>
        <w:bottom w:val="none" w:sz="0" w:space="0" w:color="auto"/>
        <w:right w:val="none" w:sz="0" w:space="0" w:color="auto"/>
      </w:divBdr>
    </w:div>
    <w:div w:id="711147682">
      <w:bodyDiv w:val="1"/>
      <w:marLeft w:val="0"/>
      <w:marRight w:val="0"/>
      <w:marTop w:val="0"/>
      <w:marBottom w:val="0"/>
      <w:divBdr>
        <w:top w:val="none" w:sz="0" w:space="0" w:color="auto"/>
        <w:left w:val="none" w:sz="0" w:space="0" w:color="auto"/>
        <w:bottom w:val="none" w:sz="0" w:space="0" w:color="auto"/>
        <w:right w:val="none" w:sz="0" w:space="0" w:color="auto"/>
      </w:divBdr>
    </w:div>
    <w:div w:id="758138345">
      <w:bodyDiv w:val="1"/>
      <w:marLeft w:val="0"/>
      <w:marRight w:val="0"/>
      <w:marTop w:val="0"/>
      <w:marBottom w:val="0"/>
      <w:divBdr>
        <w:top w:val="none" w:sz="0" w:space="0" w:color="auto"/>
        <w:left w:val="none" w:sz="0" w:space="0" w:color="auto"/>
        <w:bottom w:val="none" w:sz="0" w:space="0" w:color="auto"/>
        <w:right w:val="none" w:sz="0" w:space="0" w:color="auto"/>
      </w:divBdr>
      <w:divsChild>
        <w:div w:id="610819233">
          <w:marLeft w:val="547"/>
          <w:marRight w:val="0"/>
          <w:marTop w:val="0"/>
          <w:marBottom w:val="0"/>
          <w:divBdr>
            <w:top w:val="none" w:sz="0" w:space="0" w:color="auto"/>
            <w:left w:val="none" w:sz="0" w:space="0" w:color="auto"/>
            <w:bottom w:val="none" w:sz="0" w:space="0" w:color="auto"/>
            <w:right w:val="none" w:sz="0" w:space="0" w:color="auto"/>
          </w:divBdr>
        </w:div>
      </w:divsChild>
    </w:div>
    <w:div w:id="767505616">
      <w:bodyDiv w:val="1"/>
      <w:marLeft w:val="0"/>
      <w:marRight w:val="0"/>
      <w:marTop w:val="0"/>
      <w:marBottom w:val="0"/>
      <w:divBdr>
        <w:top w:val="none" w:sz="0" w:space="0" w:color="auto"/>
        <w:left w:val="none" w:sz="0" w:space="0" w:color="auto"/>
        <w:bottom w:val="none" w:sz="0" w:space="0" w:color="auto"/>
        <w:right w:val="none" w:sz="0" w:space="0" w:color="auto"/>
      </w:divBdr>
    </w:div>
    <w:div w:id="768620205">
      <w:bodyDiv w:val="1"/>
      <w:marLeft w:val="0"/>
      <w:marRight w:val="0"/>
      <w:marTop w:val="0"/>
      <w:marBottom w:val="0"/>
      <w:divBdr>
        <w:top w:val="none" w:sz="0" w:space="0" w:color="auto"/>
        <w:left w:val="none" w:sz="0" w:space="0" w:color="auto"/>
        <w:bottom w:val="none" w:sz="0" w:space="0" w:color="auto"/>
        <w:right w:val="none" w:sz="0" w:space="0" w:color="auto"/>
      </w:divBdr>
    </w:div>
    <w:div w:id="773591794">
      <w:bodyDiv w:val="1"/>
      <w:marLeft w:val="0"/>
      <w:marRight w:val="0"/>
      <w:marTop w:val="0"/>
      <w:marBottom w:val="0"/>
      <w:divBdr>
        <w:top w:val="none" w:sz="0" w:space="0" w:color="auto"/>
        <w:left w:val="none" w:sz="0" w:space="0" w:color="auto"/>
        <w:bottom w:val="none" w:sz="0" w:space="0" w:color="auto"/>
        <w:right w:val="none" w:sz="0" w:space="0" w:color="auto"/>
      </w:divBdr>
    </w:div>
    <w:div w:id="777871340">
      <w:bodyDiv w:val="1"/>
      <w:marLeft w:val="0"/>
      <w:marRight w:val="0"/>
      <w:marTop w:val="0"/>
      <w:marBottom w:val="0"/>
      <w:divBdr>
        <w:top w:val="none" w:sz="0" w:space="0" w:color="auto"/>
        <w:left w:val="none" w:sz="0" w:space="0" w:color="auto"/>
        <w:bottom w:val="none" w:sz="0" w:space="0" w:color="auto"/>
        <w:right w:val="none" w:sz="0" w:space="0" w:color="auto"/>
      </w:divBdr>
    </w:div>
    <w:div w:id="800881172">
      <w:bodyDiv w:val="1"/>
      <w:marLeft w:val="0"/>
      <w:marRight w:val="0"/>
      <w:marTop w:val="0"/>
      <w:marBottom w:val="0"/>
      <w:divBdr>
        <w:top w:val="none" w:sz="0" w:space="0" w:color="auto"/>
        <w:left w:val="none" w:sz="0" w:space="0" w:color="auto"/>
        <w:bottom w:val="none" w:sz="0" w:space="0" w:color="auto"/>
        <w:right w:val="none" w:sz="0" w:space="0" w:color="auto"/>
      </w:divBdr>
    </w:div>
    <w:div w:id="856696186">
      <w:bodyDiv w:val="1"/>
      <w:marLeft w:val="0"/>
      <w:marRight w:val="0"/>
      <w:marTop w:val="0"/>
      <w:marBottom w:val="0"/>
      <w:divBdr>
        <w:top w:val="none" w:sz="0" w:space="0" w:color="auto"/>
        <w:left w:val="none" w:sz="0" w:space="0" w:color="auto"/>
        <w:bottom w:val="none" w:sz="0" w:space="0" w:color="auto"/>
        <w:right w:val="none" w:sz="0" w:space="0" w:color="auto"/>
      </w:divBdr>
    </w:div>
    <w:div w:id="887453560">
      <w:bodyDiv w:val="1"/>
      <w:marLeft w:val="0"/>
      <w:marRight w:val="0"/>
      <w:marTop w:val="0"/>
      <w:marBottom w:val="0"/>
      <w:divBdr>
        <w:top w:val="none" w:sz="0" w:space="0" w:color="auto"/>
        <w:left w:val="none" w:sz="0" w:space="0" w:color="auto"/>
        <w:bottom w:val="none" w:sz="0" w:space="0" w:color="auto"/>
        <w:right w:val="none" w:sz="0" w:space="0" w:color="auto"/>
      </w:divBdr>
    </w:div>
    <w:div w:id="893740511">
      <w:bodyDiv w:val="1"/>
      <w:marLeft w:val="0"/>
      <w:marRight w:val="0"/>
      <w:marTop w:val="0"/>
      <w:marBottom w:val="0"/>
      <w:divBdr>
        <w:top w:val="none" w:sz="0" w:space="0" w:color="auto"/>
        <w:left w:val="none" w:sz="0" w:space="0" w:color="auto"/>
        <w:bottom w:val="none" w:sz="0" w:space="0" w:color="auto"/>
        <w:right w:val="none" w:sz="0" w:space="0" w:color="auto"/>
      </w:divBdr>
    </w:div>
    <w:div w:id="936333511">
      <w:bodyDiv w:val="1"/>
      <w:marLeft w:val="0"/>
      <w:marRight w:val="0"/>
      <w:marTop w:val="0"/>
      <w:marBottom w:val="0"/>
      <w:divBdr>
        <w:top w:val="none" w:sz="0" w:space="0" w:color="auto"/>
        <w:left w:val="none" w:sz="0" w:space="0" w:color="auto"/>
        <w:bottom w:val="none" w:sz="0" w:space="0" w:color="auto"/>
        <w:right w:val="none" w:sz="0" w:space="0" w:color="auto"/>
      </w:divBdr>
    </w:div>
    <w:div w:id="1026370517">
      <w:bodyDiv w:val="1"/>
      <w:marLeft w:val="0"/>
      <w:marRight w:val="0"/>
      <w:marTop w:val="0"/>
      <w:marBottom w:val="0"/>
      <w:divBdr>
        <w:top w:val="none" w:sz="0" w:space="0" w:color="auto"/>
        <w:left w:val="none" w:sz="0" w:space="0" w:color="auto"/>
        <w:bottom w:val="none" w:sz="0" w:space="0" w:color="auto"/>
        <w:right w:val="none" w:sz="0" w:space="0" w:color="auto"/>
      </w:divBdr>
    </w:div>
    <w:div w:id="1036812108">
      <w:bodyDiv w:val="1"/>
      <w:marLeft w:val="0"/>
      <w:marRight w:val="0"/>
      <w:marTop w:val="0"/>
      <w:marBottom w:val="0"/>
      <w:divBdr>
        <w:top w:val="none" w:sz="0" w:space="0" w:color="auto"/>
        <w:left w:val="none" w:sz="0" w:space="0" w:color="auto"/>
        <w:bottom w:val="none" w:sz="0" w:space="0" w:color="auto"/>
        <w:right w:val="none" w:sz="0" w:space="0" w:color="auto"/>
      </w:divBdr>
    </w:div>
    <w:div w:id="1056320229">
      <w:bodyDiv w:val="1"/>
      <w:marLeft w:val="0"/>
      <w:marRight w:val="0"/>
      <w:marTop w:val="0"/>
      <w:marBottom w:val="0"/>
      <w:divBdr>
        <w:top w:val="none" w:sz="0" w:space="0" w:color="auto"/>
        <w:left w:val="none" w:sz="0" w:space="0" w:color="auto"/>
        <w:bottom w:val="none" w:sz="0" w:space="0" w:color="auto"/>
        <w:right w:val="none" w:sz="0" w:space="0" w:color="auto"/>
      </w:divBdr>
    </w:div>
    <w:div w:id="1118334656">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173185968">
      <w:bodyDiv w:val="1"/>
      <w:marLeft w:val="0"/>
      <w:marRight w:val="0"/>
      <w:marTop w:val="0"/>
      <w:marBottom w:val="0"/>
      <w:divBdr>
        <w:top w:val="none" w:sz="0" w:space="0" w:color="auto"/>
        <w:left w:val="none" w:sz="0" w:space="0" w:color="auto"/>
        <w:bottom w:val="none" w:sz="0" w:space="0" w:color="auto"/>
        <w:right w:val="none" w:sz="0" w:space="0" w:color="auto"/>
      </w:divBdr>
    </w:div>
    <w:div w:id="1192300847">
      <w:bodyDiv w:val="1"/>
      <w:marLeft w:val="0"/>
      <w:marRight w:val="0"/>
      <w:marTop w:val="0"/>
      <w:marBottom w:val="0"/>
      <w:divBdr>
        <w:top w:val="none" w:sz="0" w:space="0" w:color="auto"/>
        <w:left w:val="none" w:sz="0" w:space="0" w:color="auto"/>
        <w:bottom w:val="none" w:sz="0" w:space="0" w:color="auto"/>
        <w:right w:val="none" w:sz="0" w:space="0" w:color="auto"/>
      </w:divBdr>
    </w:div>
    <w:div w:id="1209881365">
      <w:bodyDiv w:val="1"/>
      <w:marLeft w:val="0"/>
      <w:marRight w:val="0"/>
      <w:marTop w:val="0"/>
      <w:marBottom w:val="0"/>
      <w:divBdr>
        <w:top w:val="none" w:sz="0" w:space="0" w:color="auto"/>
        <w:left w:val="none" w:sz="0" w:space="0" w:color="auto"/>
        <w:bottom w:val="none" w:sz="0" w:space="0" w:color="auto"/>
        <w:right w:val="none" w:sz="0" w:space="0" w:color="auto"/>
      </w:divBdr>
    </w:div>
    <w:div w:id="1211458198">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55233308">
      <w:bodyDiv w:val="1"/>
      <w:marLeft w:val="0"/>
      <w:marRight w:val="0"/>
      <w:marTop w:val="0"/>
      <w:marBottom w:val="0"/>
      <w:divBdr>
        <w:top w:val="none" w:sz="0" w:space="0" w:color="auto"/>
        <w:left w:val="none" w:sz="0" w:space="0" w:color="auto"/>
        <w:bottom w:val="none" w:sz="0" w:space="0" w:color="auto"/>
        <w:right w:val="none" w:sz="0" w:space="0" w:color="auto"/>
      </w:divBdr>
    </w:div>
    <w:div w:id="1366055376">
      <w:bodyDiv w:val="1"/>
      <w:marLeft w:val="0"/>
      <w:marRight w:val="0"/>
      <w:marTop w:val="0"/>
      <w:marBottom w:val="0"/>
      <w:divBdr>
        <w:top w:val="none" w:sz="0" w:space="0" w:color="auto"/>
        <w:left w:val="none" w:sz="0" w:space="0" w:color="auto"/>
        <w:bottom w:val="none" w:sz="0" w:space="0" w:color="auto"/>
        <w:right w:val="none" w:sz="0" w:space="0" w:color="auto"/>
      </w:divBdr>
    </w:div>
    <w:div w:id="1388143364">
      <w:bodyDiv w:val="1"/>
      <w:marLeft w:val="0"/>
      <w:marRight w:val="0"/>
      <w:marTop w:val="0"/>
      <w:marBottom w:val="0"/>
      <w:divBdr>
        <w:top w:val="none" w:sz="0" w:space="0" w:color="auto"/>
        <w:left w:val="none" w:sz="0" w:space="0" w:color="auto"/>
        <w:bottom w:val="none" w:sz="0" w:space="0" w:color="auto"/>
        <w:right w:val="none" w:sz="0" w:space="0" w:color="auto"/>
      </w:divBdr>
    </w:div>
    <w:div w:id="1452939949">
      <w:bodyDiv w:val="1"/>
      <w:marLeft w:val="0"/>
      <w:marRight w:val="0"/>
      <w:marTop w:val="0"/>
      <w:marBottom w:val="0"/>
      <w:divBdr>
        <w:top w:val="none" w:sz="0" w:space="0" w:color="auto"/>
        <w:left w:val="none" w:sz="0" w:space="0" w:color="auto"/>
        <w:bottom w:val="none" w:sz="0" w:space="0" w:color="auto"/>
        <w:right w:val="none" w:sz="0" w:space="0" w:color="auto"/>
      </w:divBdr>
    </w:div>
    <w:div w:id="1460567963">
      <w:bodyDiv w:val="1"/>
      <w:marLeft w:val="0"/>
      <w:marRight w:val="0"/>
      <w:marTop w:val="0"/>
      <w:marBottom w:val="0"/>
      <w:divBdr>
        <w:top w:val="none" w:sz="0" w:space="0" w:color="auto"/>
        <w:left w:val="none" w:sz="0" w:space="0" w:color="auto"/>
        <w:bottom w:val="none" w:sz="0" w:space="0" w:color="auto"/>
        <w:right w:val="none" w:sz="0" w:space="0" w:color="auto"/>
      </w:divBdr>
    </w:div>
    <w:div w:id="1569417460">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772046326">
      <w:bodyDiv w:val="1"/>
      <w:marLeft w:val="0"/>
      <w:marRight w:val="0"/>
      <w:marTop w:val="0"/>
      <w:marBottom w:val="0"/>
      <w:divBdr>
        <w:top w:val="none" w:sz="0" w:space="0" w:color="auto"/>
        <w:left w:val="none" w:sz="0" w:space="0" w:color="auto"/>
        <w:bottom w:val="none" w:sz="0" w:space="0" w:color="auto"/>
        <w:right w:val="none" w:sz="0" w:space="0" w:color="auto"/>
      </w:divBdr>
    </w:div>
    <w:div w:id="1790857938">
      <w:bodyDiv w:val="1"/>
      <w:marLeft w:val="0"/>
      <w:marRight w:val="0"/>
      <w:marTop w:val="0"/>
      <w:marBottom w:val="0"/>
      <w:divBdr>
        <w:top w:val="none" w:sz="0" w:space="0" w:color="auto"/>
        <w:left w:val="none" w:sz="0" w:space="0" w:color="auto"/>
        <w:bottom w:val="none" w:sz="0" w:space="0" w:color="auto"/>
        <w:right w:val="none" w:sz="0" w:space="0" w:color="auto"/>
      </w:divBdr>
      <w:divsChild>
        <w:div w:id="891186904">
          <w:marLeft w:val="547"/>
          <w:marRight w:val="0"/>
          <w:marTop w:val="0"/>
          <w:marBottom w:val="0"/>
          <w:divBdr>
            <w:top w:val="none" w:sz="0" w:space="0" w:color="auto"/>
            <w:left w:val="none" w:sz="0" w:space="0" w:color="auto"/>
            <w:bottom w:val="none" w:sz="0" w:space="0" w:color="auto"/>
            <w:right w:val="none" w:sz="0" w:space="0" w:color="auto"/>
          </w:divBdr>
        </w:div>
      </w:divsChild>
    </w:div>
    <w:div w:id="1834835104">
      <w:bodyDiv w:val="1"/>
      <w:marLeft w:val="0"/>
      <w:marRight w:val="0"/>
      <w:marTop w:val="0"/>
      <w:marBottom w:val="0"/>
      <w:divBdr>
        <w:top w:val="none" w:sz="0" w:space="0" w:color="auto"/>
        <w:left w:val="none" w:sz="0" w:space="0" w:color="auto"/>
        <w:bottom w:val="none" w:sz="0" w:space="0" w:color="auto"/>
        <w:right w:val="none" w:sz="0" w:space="0" w:color="auto"/>
      </w:divBdr>
    </w:div>
    <w:div w:id="1835686885">
      <w:bodyDiv w:val="1"/>
      <w:marLeft w:val="0"/>
      <w:marRight w:val="0"/>
      <w:marTop w:val="0"/>
      <w:marBottom w:val="0"/>
      <w:divBdr>
        <w:top w:val="none" w:sz="0" w:space="0" w:color="auto"/>
        <w:left w:val="none" w:sz="0" w:space="0" w:color="auto"/>
        <w:bottom w:val="none" w:sz="0" w:space="0" w:color="auto"/>
        <w:right w:val="none" w:sz="0" w:space="0" w:color="auto"/>
      </w:divBdr>
    </w:div>
    <w:div w:id="1850218055">
      <w:bodyDiv w:val="1"/>
      <w:marLeft w:val="0"/>
      <w:marRight w:val="0"/>
      <w:marTop w:val="0"/>
      <w:marBottom w:val="0"/>
      <w:divBdr>
        <w:top w:val="none" w:sz="0" w:space="0" w:color="auto"/>
        <w:left w:val="none" w:sz="0" w:space="0" w:color="auto"/>
        <w:bottom w:val="none" w:sz="0" w:space="0" w:color="auto"/>
        <w:right w:val="none" w:sz="0" w:space="0" w:color="auto"/>
      </w:divBdr>
    </w:div>
    <w:div w:id="1874077858">
      <w:bodyDiv w:val="1"/>
      <w:marLeft w:val="0"/>
      <w:marRight w:val="0"/>
      <w:marTop w:val="0"/>
      <w:marBottom w:val="0"/>
      <w:divBdr>
        <w:top w:val="none" w:sz="0" w:space="0" w:color="auto"/>
        <w:left w:val="none" w:sz="0" w:space="0" w:color="auto"/>
        <w:bottom w:val="none" w:sz="0" w:space="0" w:color="auto"/>
        <w:right w:val="none" w:sz="0" w:space="0" w:color="auto"/>
      </w:divBdr>
    </w:div>
    <w:div w:id="1905945296">
      <w:bodyDiv w:val="1"/>
      <w:marLeft w:val="0"/>
      <w:marRight w:val="0"/>
      <w:marTop w:val="0"/>
      <w:marBottom w:val="0"/>
      <w:divBdr>
        <w:top w:val="none" w:sz="0" w:space="0" w:color="auto"/>
        <w:left w:val="none" w:sz="0" w:space="0" w:color="auto"/>
        <w:bottom w:val="none" w:sz="0" w:space="0" w:color="auto"/>
        <w:right w:val="none" w:sz="0" w:space="0" w:color="auto"/>
      </w:divBdr>
    </w:div>
    <w:div w:id="1922448748">
      <w:bodyDiv w:val="1"/>
      <w:marLeft w:val="0"/>
      <w:marRight w:val="0"/>
      <w:marTop w:val="0"/>
      <w:marBottom w:val="0"/>
      <w:divBdr>
        <w:top w:val="none" w:sz="0" w:space="0" w:color="auto"/>
        <w:left w:val="none" w:sz="0" w:space="0" w:color="auto"/>
        <w:bottom w:val="none" w:sz="0" w:space="0" w:color="auto"/>
        <w:right w:val="none" w:sz="0" w:space="0" w:color="auto"/>
      </w:divBdr>
    </w:div>
    <w:div w:id="1940335299">
      <w:bodyDiv w:val="1"/>
      <w:marLeft w:val="0"/>
      <w:marRight w:val="0"/>
      <w:marTop w:val="0"/>
      <w:marBottom w:val="0"/>
      <w:divBdr>
        <w:top w:val="none" w:sz="0" w:space="0" w:color="auto"/>
        <w:left w:val="none" w:sz="0" w:space="0" w:color="auto"/>
        <w:bottom w:val="none" w:sz="0" w:space="0" w:color="auto"/>
        <w:right w:val="none" w:sz="0" w:space="0" w:color="auto"/>
      </w:divBdr>
    </w:div>
    <w:div w:id="1966697060">
      <w:bodyDiv w:val="1"/>
      <w:marLeft w:val="0"/>
      <w:marRight w:val="0"/>
      <w:marTop w:val="0"/>
      <w:marBottom w:val="0"/>
      <w:divBdr>
        <w:top w:val="none" w:sz="0" w:space="0" w:color="auto"/>
        <w:left w:val="none" w:sz="0" w:space="0" w:color="auto"/>
        <w:bottom w:val="none" w:sz="0" w:space="0" w:color="auto"/>
        <w:right w:val="none" w:sz="0" w:space="0" w:color="auto"/>
      </w:divBdr>
    </w:div>
    <w:div w:id="2031370925">
      <w:bodyDiv w:val="1"/>
      <w:marLeft w:val="0"/>
      <w:marRight w:val="0"/>
      <w:marTop w:val="0"/>
      <w:marBottom w:val="0"/>
      <w:divBdr>
        <w:top w:val="none" w:sz="0" w:space="0" w:color="auto"/>
        <w:left w:val="none" w:sz="0" w:space="0" w:color="auto"/>
        <w:bottom w:val="none" w:sz="0" w:space="0" w:color="auto"/>
        <w:right w:val="none" w:sz="0" w:space="0" w:color="auto"/>
      </w:divBdr>
    </w:div>
    <w:div w:id="2063139057">
      <w:bodyDiv w:val="1"/>
      <w:marLeft w:val="0"/>
      <w:marRight w:val="0"/>
      <w:marTop w:val="0"/>
      <w:marBottom w:val="0"/>
      <w:divBdr>
        <w:top w:val="none" w:sz="0" w:space="0" w:color="auto"/>
        <w:left w:val="none" w:sz="0" w:space="0" w:color="auto"/>
        <w:bottom w:val="none" w:sz="0" w:space="0" w:color="auto"/>
        <w:right w:val="none" w:sz="0" w:space="0" w:color="auto"/>
      </w:divBdr>
    </w:div>
    <w:div w:id="2109497222">
      <w:bodyDiv w:val="1"/>
      <w:marLeft w:val="0"/>
      <w:marRight w:val="0"/>
      <w:marTop w:val="0"/>
      <w:marBottom w:val="0"/>
      <w:divBdr>
        <w:top w:val="none" w:sz="0" w:space="0" w:color="auto"/>
        <w:left w:val="none" w:sz="0" w:space="0" w:color="auto"/>
        <w:bottom w:val="none" w:sz="0" w:space="0" w:color="auto"/>
        <w:right w:val="none" w:sz="0" w:space="0" w:color="auto"/>
      </w:divBdr>
    </w:div>
    <w:div w:id="2132359836">
      <w:bodyDiv w:val="1"/>
      <w:marLeft w:val="0"/>
      <w:marRight w:val="0"/>
      <w:marTop w:val="0"/>
      <w:marBottom w:val="0"/>
      <w:divBdr>
        <w:top w:val="none" w:sz="0" w:space="0" w:color="auto"/>
        <w:left w:val="none" w:sz="0" w:space="0" w:color="auto"/>
        <w:bottom w:val="none" w:sz="0" w:space="0" w:color="auto"/>
        <w:right w:val="none" w:sz="0" w:space="0" w:color="auto"/>
      </w:divBdr>
    </w:div>
    <w:div w:id="21418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5.xml"/><Relationship Id="rId39" Type="http://schemas.openxmlformats.org/officeDocument/2006/relationships/diagramLayout" Target="diagrams/layout4.xml"/><Relationship Id="rId21" Type="http://schemas.openxmlformats.org/officeDocument/2006/relationships/diagramData" Target="diagrams/data2.xml"/><Relationship Id="rId34" Type="http://schemas.openxmlformats.org/officeDocument/2006/relationships/chart" Target="charts/chart8.xml"/><Relationship Id="rId42" Type="http://schemas.microsoft.com/office/2007/relationships/diagramDrawing" Target="diagrams/drawing4.xml"/><Relationship Id="rId47" Type="http://schemas.openxmlformats.org/officeDocument/2006/relationships/diagramColors" Target="diagrams/colors5.xm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Layout" Target="diagrams/layout3.xml"/><Relationship Id="rId11" Type="http://schemas.openxmlformats.org/officeDocument/2006/relationships/image" Target="media/image3.png"/><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chart" Target="charts/chart11.xml"/><Relationship Id="rId40" Type="http://schemas.openxmlformats.org/officeDocument/2006/relationships/diagramQuickStyle" Target="diagrams/quickStyle4.xml"/><Relationship Id="rId45" Type="http://schemas.openxmlformats.org/officeDocument/2006/relationships/diagramLayout" Target="diagrams/layout5.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diagramColors" Target="diagrams/colors3.xml"/><Relationship Id="rId44" Type="http://schemas.openxmlformats.org/officeDocument/2006/relationships/diagramData" Target="diagrams/data5.xm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Layout" Target="diagrams/layout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chart" Target="charts/chart9.xml"/><Relationship Id="rId43" Type="http://schemas.openxmlformats.org/officeDocument/2006/relationships/chart" Target="charts/chart12.xml"/><Relationship Id="rId48" Type="http://schemas.microsoft.com/office/2007/relationships/diagramDrawing" Target="diagrams/drawing5.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chart" Target="charts/chart1.xml"/><Relationship Id="rId25" Type="http://schemas.microsoft.com/office/2007/relationships/diagramDrawing" Target="diagrams/drawing2.xml"/><Relationship Id="rId33" Type="http://schemas.openxmlformats.org/officeDocument/2006/relationships/chart" Target="charts/chart7.xml"/><Relationship Id="rId38" Type="http://schemas.openxmlformats.org/officeDocument/2006/relationships/diagramData" Target="diagrams/data4.xml"/><Relationship Id="rId46" Type="http://schemas.openxmlformats.org/officeDocument/2006/relationships/diagramQuickStyle" Target="diagrams/quickStyle5.xml"/><Relationship Id="rId20" Type="http://schemas.openxmlformats.org/officeDocument/2006/relationships/chart" Target="charts/chart4.xml"/><Relationship Id="rId41" Type="http://schemas.openxmlformats.org/officeDocument/2006/relationships/diagramColors" Target="diagrams/colors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chart" Target="charts/chart10.xm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10.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a:t>Ingresos</a:t>
            </a:r>
            <a:r>
              <a:rPr lang="es-GT" sz="1200" baseline="0"/>
              <a:t> Totales</a:t>
            </a:r>
          </a:p>
          <a:p>
            <a:pPr>
              <a:defRPr sz="900">
                <a:solidFill>
                  <a:sysClr val="windowText" lastClr="000000"/>
                </a:solidFill>
              </a:defRPr>
            </a:pPr>
            <a:r>
              <a:rPr lang="es-GT" sz="1100" baseline="0"/>
              <a:t>Variación interanual acumulada</a:t>
            </a:r>
          </a:p>
          <a:p>
            <a:pPr>
              <a:defRPr sz="900">
                <a:solidFill>
                  <a:sysClr val="windowText" lastClr="000000"/>
                </a:solidFill>
              </a:defRPr>
            </a:pPr>
            <a:r>
              <a:rPr lang="es-GT" sz="1000" b="0" baseline="0"/>
              <a:t>En porcentajes</a:t>
            </a:r>
            <a:endParaRPr lang="es-GT" sz="1000" b="0"/>
          </a:p>
        </c:rich>
      </c:tx>
      <c:layout>
        <c:manualLayout>
          <c:xMode val="edge"/>
          <c:yMode val="edge"/>
          <c:x val="0.31876325637601388"/>
          <c:y val="0"/>
        </c:manualLayout>
      </c:layout>
      <c:overlay val="1"/>
      <c:spPr>
        <a:noFill/>
        <a:ln>
          <a:noFill/>
        </a:ln>
        <a:effectLst/>
      </c:spPr>
      <c:txPr>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5.0673161848705683E-2"/>
          <c:y val="0.29525162229580376"/>
          <c:w val="1"/>
          <c:h val="0.48321112615514045"/>
        </c:manualLayout>
      </c:layout>
      <c:barChart>
        <c:barDir val="col"/>
        <c:grouping val="clustered"/>
        <c:varyColors val="0"/>
        <c:ser>
          <c:idx val="0"/>
          <c:order val="1"/>
          <c:tx>
            <c:strRef>
              <c:f>Hoja1!$D$1</c:f>
              <c:strCache>
                <c:ptCount val="1"/>
                <c:pt idx="0">
                  <c:v>2021</c:v>
                </c:pt>
              </c:strCache>
            </c:strRef>
          </c:tx>
          <c:spPr>
            <a:solidFill>
              <a:srgbClr val="00B0F0"/>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4.2244618575562284E-4"/>
                  <c:y val="-2.0356312603781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8E-4F11-B795-3C8DE4243CFB}"/>
                </c:ext>
              </c:extLst>
            </c:dLbl>
            <c:dLbl>
              <c:idx val="1"/>
              <c:layout>
                <c:manualLayout>
                  <c:x val="0"/>
                  <c:y val="-1.017811704834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69-4070-A5FD-52761F3A4378}"/>
                </c:ext>
              </c:extLst>
            </c:dLbl>
            <c:dLbl>
              <c:idx val="2"/>
              <c:tx>
                <c:rich>
                  <a:bodyPr/>
                  <a:lstStyle/>
                  <a:p>
                    <a:fld id="{B70952BE-0E47-4080-9730-962434246B8C}"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DA-4CEC-AFDB-4DA9C5CBDAE3}"/>
                </c:ext>
              </c:extLst>
            </c:dLbl>
            <c:dLbl>
              <c:idx val="3"/>
              <c:layout>
                <c:manualLayout>
                  <c:x val="-4.5024763619991824E-3"/>
                  <c:y val="-9.32983284862533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DA-4CEC-AFDB-4DA9C5CBDAE3}"/>
                </c:ext>
              </c:extLst>
            </c:dLbl>
            <c:dLbl>
              <c:idx val="4"/>
              <c:tx>
                <c:rich>
                  <a:bodyPr/>
                  <a:lstStyle/>
                  <a:p>
                    <a:fld id="{BE595BC7-DCA9-479A-871E-3B938E48F3A0}"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7DA-4CEC-AFDB-4DA9C5CBDAE3}"/>
                </c:ext>
              </c:extLst>
            </c:dLbl>
            <c:dLbl>
              <c:idx val="5"/>
              <c:tx>
                <c:rich>
                  <a:bodyPr/>
                  <a:lstStyle/>
                  <a:p>
                    <a:fld id="{9DDCDE80-5BE7-4E7D-88FF-C833BCB9D083}"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7DA-4CEC-AFDB-4DA9C5CBDAE3}"/>
                </c:ext>
              </c:extLst>
            </c:dLbl>
            <c:dLbl>
              <c:idx val="6"/>
              <c:tx>
                <c:rich>
                  <a:bodyPr/>
                  <a:lstStyle/>
                  <a:p>
                    <a:fld id="{2D891769-A5A5-4BD0-9B1C-58547D5E3D03}"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7DA-4CEC-AFDB-4DA9C5CBDAE3}"/>
                </c:ext>
              </c:extLst>
            </c:dLbl>
            <c:dLbl>
              <c:idx val="7"/>
              <c:tx>
                <c:rich>
                  <a:bodyPr/>
                  <a:lstStyle/>
                  <a:p>
                    <a:fld id="{D55D93F5-CB79-4C89-BF5E-9AF4FE653A6C}" type="VALUE">
                      <a:rPr lang="en-US">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DA-4CEC-AFDB-4DA9C5CBDAE3}"/>
                </c:ext>
              </c:extLst>
            </c:dLbl>
            <c:dLbl>
              <c:idx val="8"/>
              <c:tx>
                <c:rich>
                  <a:bodyPr/>
                  <a:lstStyle/>
                  <a:p>
                    <a:fld id="{A49661DA-D522-4D0D-AEC4-E447451C9457}" type="VALUE">
                      <a:rPr lang="en-US" sz="700">
                        <a:solidFill>
                          <a:schemeClr val="accent5">
                            <a:lumMod val="50000"/>
                          </a:schemeClr>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7DA-4CEC-AFDB-4DA9C5CBDAE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Hoja1!$D$2:$D$10</c:f>
              <c:numCache>
                <c:formatCode>#,##0.0_ ;[Red]\-#,##0.0\ </c:formatCode>
                <c:ptCount val="9"/>
                <c:pt idx="0">
                  <c:v>3.2845640159202105</c:v>
                </c:pt>
                <c:pt idx="1">
                  <c:v>4.6218979714101716</c:v>
                </c:pt>
                <c:pt idx="2">
                  <c:v>17.072707699909696</c:v>
                </c:pt>
                <c:pt idx="3">
                  <c:v>16.72345768161394</c:v>
                </c:pt>
                <c:pt idx="4">
                  <c:v>20.624668998883109</c:v>
                </c:pt>
                <c:pt idx="5">
                  <c:v>23.603620794932169</c:v>
                </c:pt>
                <c:pt idx="6">
                  <c:v>25.524714919572823</c:v>
                </c:pt>
                <c:pt idx="7">
                  <c:v>25.945978770240853</c:v>
                </c:pt>
                <c:pt idx="8">
                  <c:v>25.69553564453717</c:v>
                </c:pt>
              </c:numCache>
            </c:numRef>
          </c:val>
          <c:extLst>
            <c:ext xmlns:c16="http://schemas.microsoft.com/office/drawing/2014/chart" uri="{C3380CC4-5D6E-409C-BE32-E72D297353CC}">
              <c16:uniqueId val="{00000001-E2D9-4984-901D-E1114F265272}"/>
            </c:ext>
          </c:extLst>
        </c:ser>
        <c:ser>
          <c:idx val="1"/>
          <c:order val="2"/>
          <c:tx>
            <c:strRef>
              <c:f>Hoja1!$C$1</c:f>
              <c:strCache>
                <c:ptCount val="1"/>
                <c:pt idx="0">
                  <c:v>2022</c:v>
                </c:pt>
              </c:strCache>
            </c:strRef>
          </c:tx>
          <c:spPr>
            <a:solidFill>
              <a:srgbClr val="9BBB59"/>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9.0050915882388064E-3"/>
                  <c:y val="1.0884353741496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DA-4CEC-AFDB-4DA9C5CBDAE3}"/>
                </c:ext>
              </c:extLst>
            </c:dLbl>
            <c:dLbl>
              <c:idx val="1"/>
              <c:layout>
                <c:manualLayout>
                  <c:x val="2.9375042829898864E-3"/>
                  <c:y val="-1.502365755577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8E-4F11-B795-3C8DE4243CFB}"/>
                </c:ext>
              </c:extLst>
            </c:dLbl>
            <c:dLbl>
              <c:idx val="2"/>
              <c:layout>
                <c:manualLayout>
                  <c:x val="2.1655925522419822E-3"/>
                  <c:y val="-5.0660667416572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DA-4CEC-AFDB-4DA9C5CBDAE3}"/>
                </c:ext>
              </c:extLst>
            </c:dLbl>
            <c:dLbl>
              <c:idx val="3"/>
              <c:layout>
                <c:manualLayout>
                  <c:x val="-1.4790739449414109E-16"/>
                  <c:y val="-3.9691038620172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8E-4F11-B795-3C8DE4243CFB}"/>
                </c:ext>
              </c:extLst>
            </c:dLbl>
            <c:dLbl>
              <c:idx val="4"/>
              <c:layout>
                <c:manualLayout>
                  <c:x val="0"/>
                  <c:y val="-2.6542800265428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4A-4036-9CA9-4FEE2D543697}"/>
                </c:ext>
              </c:extLst>
            </c:dLbl>
            <c:dLbl>
              <c:idx val="5"/>
              <c:layout>
                <c:manualLayout>
                  <c:x val="0"/>
                  <c:y val="-6.6357000663570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4A-4036-9CA9-4FEE2D543697}"/>
                </c:ext>
              </c:extLst>
            </c:dLbl>
            <c:dLbl>
              <c:idx val="6"/>
              <c:layout>
                <c:manualLayout>
                  <c:x val="0"/>
                  <c:y val="1.327140013271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56-43FC-A646-87823658FB37}"/>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Hoja1!$C$2:$C$10</c:f>
              <c:numCache>
                <c:formatCode>#,##0.0_ ;[Red]\-#,##0.0\ </c:formatCode>
                <c:ptCount val="9"/>
                <c:pt idx="0">
                  <c:v>11.350537651430216</c:v>
                </c:pt>
                <c:pt idx="1">
                  <c:v>9.8707259194458441</c:v>
                </c:pt>
                <c:pt idx="2">
                  <c:v>12.61560613430901</c:v>
                </c:pt>
                <c:pt idx="3">
                  <c:v>13.584770648351752</c:v>
                </c:pt>
                <c:pt idx="4">
                  <c:v>13.897364345342545</c:v>
                </c:pt>
                <c:pt idx="5">
                  <c:v>14.185457354025367</c:v>
                </c:pt>
                <c:pt idx="6">
                  <c:v>14.179266321563521</c:v>
                </c:pt>
                <c:pt idx="7">
                  <c:v>14.168808093360429</c:v>
                </c:pt>
                <c:pt idx="8">
                  <c:v>14.111256657701897</c:v>
                </c:pt>
              </c:numCache>
            </c:numRef>
          </c:val>
          <c:extLst>
            <c:ext xmlns:c16="http://schemas.microsoft.com/office/drawing/2014/chart" uri="{C3380CC4-5D6E-409C-BE32-E72D297353CC}">
              <c16:uniqueId val="{00000000-E2D9-4984-901D-E1114F265272}"/>
            </c:ext>
          </c:extLst>
        </c:ser>
        <c:dLbls>
          <c:showLegendKey val="0"/>
          <c:showVal val="0"/>
          <c:showCatName val="0"/>
          <c:showSerName val="0"/>
          <c:showPercent val="0"/>
          <c:showBubbleSize val="0"/>
        </c:dLbls>
        <c:gapWidth val="150"/>
        <c:axId val="1509281743"/>
        <c:axId val="344873055"/>
      </c:barChart>
      <c:lineChart>
        <c:grouping val="standard"/>
        <c:varyColors val="0"/>
        <c:ser>
          <c:idx val="2"/>
          <c:order val="0"/>
          <c:tx>
            <c:strRef>
              <c:f>Hoja1!$B$1</c:f>
              <c:strCache>
                <c:ptCount val="1"/>
                <c:pt idx="0">
                  <c:v>2023*</c:v>
                </c:pt>
              </c:strCache>
            </c:strRef>
          </c:tx>
          <c:spPr>
            <a:ln w="25400" cap="rnd">
              <a:solidFill>
                <a:srgbClr val="002060"/>
              </a:solidFill>
              <a:round/>
              <a:tailEnd type="triangle"/>
            </a:ln>
            <a:effectLst>
              <a:outerShdw blurRad="50800" dist="38100" dir="18900000" algn="bl" rotWithShape="0">
                <a:prstClr val="black">
                  <a:alpha val="40000"/>
                </a:prstClr>
              </a:outerShdw>
            </a:effectLst>
          </c:spPr>
          <c:marker>
            <c:symbol val="circle"/>
            <c:size val="7"/>
            <c:spPr>
              <a:solidFill>
                <a:srgbClr val="9BBB59">
                  <a:lumMod val="50000"/>
                </a:srgbClr>
              </a:solidFill>
              <a:ln w="15875">
                <a:solidFill>
                  <a:srgbClr val="002060"/>
                </a:solidFill>
                <a:round/>
              </a:ln>
              <a:effectLst/>
            </c:spPr>
          </c:marker>
          <c:dLbls>
            <c:spPr>
              <a:solidFill>
                <a:srgbClr val="1F497D">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#,##0.0_ ;[Red]\-#,##0.0\ </c:formatCode>
                <c:ptCount val="9"/>
                <c:pt idx="0">
                  <c:v>11.673533411795912</c:v>
                </c:pt>
                <c:pt idx="1">
                  <c:v>12.44935270110863</c:v>
                </c:pt>
                <c:pt idx="2">
                  <c:v>12.594727454083765</c:v>
                </c:pt>
                <c:pt idx="3">
                  <c:v>10.87025072743919</c:v>
                </c:pt>
                <c:pt idx="4">
                  <c:v>10.799292951551465</c:v>
                </c:pt>
                <c:pt idx="5">
                  <c:v>10.571837616444091</c:v>
                </c:pt>
                <c:pt idx="6">
                  <c:v>10.177448383487508</c:v>
                </c:pt>
                <c:pt idx="7">
                  <c:v>10.51659708380852</c:v>
                </c:pt>
                <c:pt idx="8">
                  <c:v>10.241487976779462</c:v>
                </c:pt>
              </c:numCache>
            </c:numRef>
          </c:val>
          <c:smooth val="1"/>
          <c:extLst>
            <c:ext xmlns:c16="http://schemas.microsoft.com/office/drawing/2014/chart" uri="{C3380CC4-5D6E-409C-BE32-E72D297353CC}">
              <c16:uniqueId val="{00000005-E2D9-4984-901D-E1114F265272}"/>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_ ;[Red]\-#,##0\ " sourceLinked="0"/>
        <c:majorTickMark val="out"/>
        <c:minorTickMark val="none"/>
        <c:tickLblPos val="nextTo"/>
        <c:crossAx val="1509281743"/>
        <c:crosses val="autoZero"/>
        <c:crossBetween val="between"/>
      </c:valAx>
      <c:spPr>
        <a:pattFill prst="ltDnDiag">
          <a:fgClr>
            <a:schemeClr val="dk1">
              <a:lumMod val="15000"/>
              <a:lumOff val="85000"/>
            </a:schemeClr>
          </a:fgClr>
          <a:bgClr>
            <a:schemeClr val="lt1"/>
          </a:bgClr>
        </a:pattFill>
        <a:ln>
          <a:noFill/>
        </a:ln>
        <a:effectLst/>
      </c:spPr>
    </c:plotArea>
    <c:legend>
      <c:legendPos val="t"/>
      <c:layout>
        <c:manualLayout>
          <c:xMode val="edge"/>
          <c:yMode val="edge"/>
          <c:x val="0"/>
          <c:y val="0.90146324719556614"/>
          <c:w val="0.33416330016697399"/>
          <c:h val="9.839590231604362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a:t>Flujo</a:t>
            </a:r>
            <a:r>
              <a:rPr lang="es-GT" baseline="0"/>
              <a:t> mensual  </a:t>
            </a:r>
          </a:p>
        </c:rich>
      </c:tx>
      <c:layout>
        <c:manualLayout>
          <c:xMode val="edge"/>
          <c:yMode val="edge"/>
          <c:x val="0.381879044856059"/>
          <c:y val="3.6825518900942419E-3"/>
        </c:manualLayout>
      </c:layout>
      <c:overlay val="0"/>
      <c:spPr>
        <a:noFill/>
        <a:ln>
          <a:noFill/>
        </a:ln>
        <a:effectLst/>
      </c:spPr>
      <c:txPr>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12372937643185798"/>
          <c:w val="0.97198739067860607"/>
          <c:h val="0.5655617696320967"/>
        </c:manualLayout>
      </c:layout>
      <c:barChart>
        <c:barDir val="col"/>
        <c:grouping val="clustered"/>
        <c:varyColors val="0"/>
        <c:ser>
          <c:idx val="0"/>
          <c:order val="0"/>
          <c:tx>
            <c:strRef>
              <c:f>Hoja1!$A$2</c:f>
              <c:strCache>
                <c:ptCount val="1"/>
                <c:pt idx="0">
                  <c:v>Adquicición neta de activos financieros</c:v>
                </c:pt>
              </c:strCache>
            </c:strRef>
          </c:tx>
          <c:spPr>
            <a:solidFill>
              <a:srgbClr val="D99694"/>
            </a:solidFill>
            <a:ln>
              <a:solidFill>
                <a:schemeClr val="tx1"/>
              </a:solidFill>
            </a:ln>
            <a:effectLst>
              <a:outerShdw blurRad="50800" dist="38100" dir="18900000" algn="bl" rotWithShape="0">
                <a:prstClr val="black">
                  <a:alpha val="40000"/>
                </a:prstClr>
              </a:outerShdw>
            </a:effectLst>
          </c:spPr>
          <c:invertIfNegative val="1"/>
          <c:dPt>
            <c:idx val="3"/>
            <c:invertIfNegative val="1"/>
            <c:bubble3D val="0"/>
            <c:extLst>
              <c:ext xmlns:c16="http://schemas.microsoft.com/office/drawing/2014/chart" uri="{C3380CC4-5D6E-409C-BE32-E72D297353CC}">
                <c16:uniqueId val="{00000000-86B5-48AC-A799-674E4424E624}"/>
              </c:ext>
            </c:extLst>
          </c:dPt>
          <c:dPt>
            <c:idx val="6"/>
            <c:invertIfNegative val="1"/>
            <c:bubble3D val="0"/>
            <c:extLst>
              <c:ext xmlns:c16="http://schemas.microsoft.com/office/drawing/2014/chart" uri="{C3380CC4-5D6E-409C-BE32-E72D297353CC}">
                <c16:uniqueId val="{00000001-86B5-48AC-A799-674E4424E624}"/>
              </c:ext>
            </c:extLst>
          </c:dPt>
          <c:dPt>
            <c:idx val="9"/>
            <c:invertIfNegative val="1"/>
            <c:bubble3D val="0"/>
            <c:extLst>
              <c:ext xmlns:c16="http://schemas.microsoft.com/office/drawing/2014/chart" uri="{C3380CC4-5D6E-409C-BE32-E72D297353CC}">
                <c16:uniqueId val="{00000002-86B5-48AC-A799-674E4424E624}"/>
              </c:ext>
            </c:extLst>
          </c:dPt>
          <c:dPt>
            <c:idx val="12"/>
            <c:invertIfNegative val="0"/>
            <c:bubble3D val="0"/>
            <c:spPr>
              <a:solidFill>
                <a:srgbClr val="FF0000"/>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86B5-48AC-A799-674E4424E624}"/>
              </c:ext>
            </c:extLst>
          </c:dPt>
          <c:dLbls>
            <c:dLbl>
              <c:idx val="0"/>
              <c:layout>
                <c:manualLayout>
                  <c:x val="0"/>
                  <c:y val="1.526135062953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B5-48AC-A799-674E4424E62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B5-48AC-A799-674E4424E62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B5-48AC-A799-674E4424E624}"/>
                </c:ext>
              </c:extLst>
            </c:dLbl>
            <c:dLbl>
              <c:idx val="3"/>
              <c:layout>
                <c:manualLayout>
                  <c:x val="0"/>
                  <c:y val="-2.7935674271766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B5-48AC-A799-674E4424E62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B5-48AC-A799-674E4424E624}"/>
                </c:ext>
              </c:extLst>
            </c:dLbl>
            <c:dLbl>
              <c:idx val="5"/>
              <c:layout>
                <c:manualLayout>
                  <c:x val="0"/>
                  <c:y val="2.5062666957535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B5-48AC-A799-674E4424E62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B5-48AC-A799-674E4424E624}"/>
                </c:ext>
              </c:extLst>
            </c:dLbl>
            <c:dLbl>
              <c:idx val="7"/>
              <c:layout>
                <c:manualLayout>
                  <c:x val="-7.0471349404377432E-17"/>
                  <c:y val="-1.3532903534675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B5-48AC-A799-674E4424E624}"/>
                </c:ext>
              </c:extLst>
            </c:dLbl>
            <c:dLbl>
              <c:idx val="8"/>
              <c:layout>
                <c:manualLayout>
                  <c:x val="4.4632033911386681E-3"/>
                  <c:y val="2.0484409632952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B5-48AC-A799-674E4424E624}"/>
                </c:ext>
              </c:extLst>
            </c:dLbl>
            <c:dLbl>
              <c:idx val="9"/>
              <c:layout>
                <c:manualLayout>
                  <c:x val="0"/>
                  <c:y val="1.41813668640257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B5-48AC-A799-674E4424E624}"/>
                </c:ext>
              </c:extLst>
            </c:dLbl>
            <c:dLbl>
              <c:idx val="10"/>
              <c:layout>
                <c:manualLayout>
                  <c:x val="0"/>
                  <c:y val="1.5261350629530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6B5-48AC-A799-674E4424E624}"/>
                </c:ext>
              </c:extLst>
            </c:dLbl>
            <c:dLbl>
              <c:idx val="11"/>
              <c:layout>
                <c:manualLayout>
                  <c:x val="-7.68787238131847E-3"/>
                  <c:y val="1.196868807068121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6B5-48AC-A799-674E4424E624}"/>
                </c:ext>
              </c:extLst>
            </c:dLbl>
            <c:dLbl>
              <c:idx val="12"/>
              <c:layout>
                <c:manualLayout>
                  <c:x val="-3.8439361906592376E-3"/>
                  <c:y val="5.1718542489993221E-3"/>
                </c:manualLayout>
              </c:layout>
              <c:numFmt formatCode="[Red]#,##0.0_ ;\-#,##0.0\ "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15:layout>
                    <c:manualLayout>
                      <c:w val="0.1210839900057659"/>
                      <c:h val="5.7877813504823156E-2"/>
                    </c:manualLayout>
                  </c15:layout>
                </c:ext>
                <c:ext xmlns:c16="http://schemas.microsoft.com/office/drawing/2014/chart" uri="{C3380CC4-5D6E-409C-BE32-E72D297353CC}">
                  <c16:uniqueId val="{00000004-86B5-48AC-A799-674E4424E624}"/>
                </c:ext>
              </c:extLst>
            </c:dLbl>
            <c:numFmt formatCode="[Red]#,##0.0_ ;\-#,##0.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Hoja1!$B$1:$K$1</c:f>
              <c:strCache>
                <c:ptCount val="10"/>
                <c:pt idx="0">
                  <c:v>Enero</c:v>
                </c:pt>
                <c:pt idx="1">
                  <c:v>Febrero</c:v>
                </c:pt>
                <c:pt idx="2">
                  <c:v>Marzo</c:v>
                </c:pt>
                <c:pt idx="3">
                  <c:v>Abril</c:v>
                </c:pt>
                <c:pt idx="4">
                  <c:v>Mayo</c:v>
                </c:pt>
                <c:pt idx="5">
                  <c:v>Junio</c:v>
                </c:pt>
                <c:pt idx="6">
                  <c:v>Julio</c:v>
                </c:pt>
                <c:pt idx="7">
                  <c:v>Agosto</c:v>
                </c:pt>
                <c:pt idx="8">
                  <c:v>Septiembre</c:v>
                </c:pt>
                <c:pt idx="9">
                  <c:v>Total</c:v>
                </c:pt>
              </c:strCache>
            </c:strRef>
          </c:cat>
          <c:val>
            <c:numRef>
              <c:f>Hoja1!$B$2:$K$2</c:f>
              <c:numCache>
                <c:formatCode>#,##0.00</c:formatCode>
                <c:ptCount val="10"/>
                <c:pt idx="0">
                  <c:v>-331.74560911999998</c:v>
                </c:pt>
                <c:pt idx="1">
                  <c:v>-997.06545134999988</c:v>
                </c:pt>
                <c:pt idx="2">
                  <c:v>-211.11909324999999</c:v>
                </c:pt>
                <c:pt idx="3">
                  <c:v>-1144.9971977599998</c:v>
                </c:pt>
                <c:pt idx="4">
                  <c:v>167.02887824000004</c:v>
                </c:pt>
                <c:pt idx="5">
                  <c:v>7245.0995751899991</c:v>
                </c:pt>
                <c:pt idx="6">
                  <c:v>-83.973125400000029</c:v>
                </c:pt>
                <c:pt idx="7">
                  <c:v>-270.53624087999998</c:v>
                </c:pt>
                <c:pt idx="8">
                  <c:v>-300.33648861</c:v>
                </c:pt>
                <c:pt idx="9">
                  <c:v>4072.3552470599998</c:v>
                </c:pt>
              </c:numCache>
            </c:numRef>
          </c:val>
          <c:extLst>
            <c:ext xmlns:c14="http://schemas.microsoft.com/office/drawing/2007/8/2/chart" uri="{6F2FDCE9-48DA-4B69-8628-5D25D57E5C99}">
              <c14:invertSolidFillFmt>
                <c14:spPr xmlns:c14="http://schemas.microsoft.com/office/drawing/2007/8/2/chart">
                  <a:solidFill>
                    <a:srgbClr val="9BBB59"/>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E-86B5-48AC-A799-674E4424E624}"/>
            </c:ext>
          </c:extLst>
        </c:ser>
        <c:dLbls>
          <c:dLblPos val="inEnd"/>
          <c:showLegendKey val="0"/>
          <c:showVal val="1"/>
          <c:showCatName val="0"/>
          <c:showSerName val="0"/>
          <c:showPercent val="0"/>
          <c:showBubbleSize val="0"/>
        </c:dLbls>
        <c:gapWidth val="83"/>
        <c:overlap val="7"/>
        <c:axId val="152970912"/>
        <c:axId val="152969984"/>
      </c:barChart>
      <c:catAx>
        <c:axId val="1529709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69984"/>
        <c:crosses val="autoZero"/>
        <c:auto val="1"/>
        <c:lblAlgn val="ctr"/>
        <c:lblOffset val="100"/>
        <c:noMultiLvlLbl val="0"/>
      </c:catAx>
      <c:valAx>
        <c:axId val="152969984"/>
        <c:scaling>
          <c:orientation val="minMax"/>
          <c:min val="-3000"/>
        </c:scaling>
        <c:delete val="1"/>
        <c:axPos val="l"/>
        <c:numFmt formatCode="#,##0_ ;[Red]\-#,##0\ " sourceLinked="0"/>
        <c:majorTickMark val="out"/>
        <c:minorTickMark val="none"/>
        <c:tickLblPos val="nextTo"/>
        <c:crossAx val="152970912"/>
        <c:crosses val="autoZero"/>
        <c:crossBetween val="between"/>
      </c:valAx>
      <c:spPr>
        <a:pattFill prst="ltDnDiag">
          <a:fgClr>
            <a:srgbClr val="000000">
              <a:alpha val="0"/>
            </a:srgbClr>
          </a:fgClr>
          <a:bgClr>
            <a:srgbClr val="FFFFFF"/>
          </a:bgClr>
        </a:pattFill>
        <a:ln w="25400">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n-US" sz="900" b="1">
                <a:solidFill>
                  <a:schemeClr val="tx1"/>
                </a:solidFill>
              </a:rPr>
              <a:t>Por tipo de intrumento </a:t>
            </a:r>
          </a:p>
          <a:p>
            <a:pPr>
              <a:defRPr b="1">
                <a:solidFill>
                  <a:schemeClr val="tx1"/>
                </a:solidFill>
              </a:defRPr>
            </a:pPr>
            <a:r>
              <a:rPr lang="en-US" sz="900" b="1">
                <a:solidFill>
                  <a:schemeClr val="tx1"/>
                </a:solidFill>
              </a:rPr>
              <a:t>Cifra acumulada</a:t>
            </a:r>
          </a:p>
        </c:rich>
      </c:tx>
      <c:layout>
        <c:manualLayout>
          <c:xMode val="edge"/>
          <c:yMode val="edge"/>
          <c:x val="0.24247808794645748"/>
          <c:y val="4.4535929071858145E-3"/>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39004094664588096"/>
          <c:y val="0.19398968496750502"/>
          <c:w val="0.43353788281365419"/>
          <c:h val="0.70011036022072048"/>
        </c:manualLayout>
      </c:layout>
      <c:barChart>
        <c:barDir val="bar"/>
        <c:grouping val="clustered"/>
        <c:varyColors val="0"/>
        <c:ser>
          <c:idx val="0"/>
          <c:order val="0"/>
          <c:tx>
            <c:strRef>
              <c:f>Hoja1!$B$1</c:f>
              <c:strCache>
                <c:ptCount val="1"/>
                <c:pt idx="0">
                  <c:v>Septiembre</c:v>
                </c:pt>
              </c:strCache>
            </c:strRef>
          </c:tx>
          <c:spPr>
            <a:solidFill>
              <a:srgbClr val="C00000"/>
            </a:solidFill>
            <a:ln>
              <a:solidFill>
                <a:schemeClr val="tx1"/>
              </a:solidFill>
            </a:ln>
            <a:effectLst>
              <a:outerShdw blurRad="50800" dist="38100" dir="18900000" algn="bl" rotWithShape="0">
                <a:prstClr val="black">
                  <a:alpha val="40000"/>
                </a:prstClr>
              </a:outerShdw>
            </a:effectLst>
          </c:spPr>
          <c:invertIfNegative val="1"/>
          <c:dPt>
            <c:idx val="0"/>
            <c:invertIfNegative val="1"/>
            <c:bubble3D val="0"/>
            <c:extLst>
              <c:ext xmlns:c16="http://schemas.microsoft.com/office/drawing/2014/chart" uri="{C3380CC4-5D6E-409C-BE32-E72D297353CC}">
                <c16:uniqueId val="{00000001-6561-4004-9F39-C4307818C6BC}"/>
              </c:ext>
            </c:extLst>
          </c:dPt>
          <c:dPt>
            <c:idx val="1"/>
            <c:invertIfNegative val="1"/>
            <c:bubble3D val="0"/>
            <c:extLst>
              <c:ext xmlns:c16="http://schemas.microsoft.com/office/drawing/2014/chart" uri="{C3380CC4-5D6E-409C-BE32-E72D297353CC}">
                <c16:uniqueId val="{00000003-6561-4004-9F39-C4307818C6BC}"/>
              </c:ext>
            </c:extLst>
          </c:dPt>
          <c:dPt>
            <c:idx val="2"/>
            <c:invertIfNegative val="1"/>
            <c:bubble3D val="0"/>
            <c:extLst>
              <c:ext xmlns:c16="http://schemas.microsoft.com/office/drawing/2014/chart" uri="{C3380CC4-5D6E-409C-BE32-E72D297353CC}">
                <c16:uniqueId val="{00000005-6561-4004-9F39-C4307818C6BC}"/>
              </c:ext>
            </c:extLst>
          </c:dPt>
          <c:dLbls>
            <c:dLbl>
              <c:idx val="0"/>
              <c:layout>
                <c:manualLayout>
                  <c:x val="-1.0045546053451392E-16"/>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1-4004-9F39-C4307818C6BC}"/>
                </c:ext>
              </c:extLst>
            </c:dLbl>
            <c:numFmt formatCode="[Red]#,##0.0_ ;[Black]\-#,##0.0\ " sourceLinked="0"/>
            <c:spPr>
              <a:noFill/>
              <a:ln>
                <a:noFill/>
              </a:ln>
              <a:effectLst/>
            </c:spPr>
            <c:txPr>
              <a:bodyPr rot="0" spcFirstLastPara="1" vertOverflow="ellipsis" vert="horz" wrap="square" anchor="ctr" anchorCtr="1"/>
              <a:lstStyle/>
              <a:p>
                <a:pPr>
                  <a:defRPr sz="800" b="0"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Títulos de deuda</c:v>
                </c:pt>
                <c:pt idx="1">
                  <c:v>Préstamos</c:v>
                </c:pt>
                <c:pt idx="2">
                  <c:v>Otras cuentas por pagar</c:v>
                </c:pt>
              </c:strCache>
            </c:strRef>
          </c:cat>
          <c:val>
            <c:numRef>
              <c:f>Hoja1!$B$2:$B$4</c:f>
              <c:numCache>
                <c:formatCode>#,##0.0_ ;[Red]\-#,##0.0\ </c:formatCode>
                <c:ptCount val="3"/>
                <c:pt idx="0">
                  <c:v>5877.6700667799996</c:v>
                </c:pt>
                <c:pt idx="1">
                  <c:v>-1511.2708686999999</c:v>
                </c:pt>
                <c:pt idx="2">
                  <c:v>-294.04395102000007</c:v>
                </c:pt>
              </c:numCache>
            </c:numRef>
          </c:val>
          <c:extLst>
            <c:ext xmlns:c14="http://schemas.microsoft.com/office/drawing/2007/8/2/chart" uri="{6F2FDCE9-48DA-4B69-8628-5D25D57E5C99}">
              <c14:invertSolidFillFmt>
                <c14:spPr xmlns:c14="http://schemas.microsoft.com/office/drawing/2007/8/2/chart">
                  <a:solidFill>
                    <a:srgbClr val="9BBB59"/>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6-6561-4004-9F39-C4307818C6BC}"/>
            </c:ext>
          </c:extLst>
        </c:ser>
        <c:dLbls>
          <c:dLblPos val="inEnd"/>
          <c:showLegendKey val="0"/>
          <c:showVal val="1"/>
          <c:showCatName val="0"/>
          <c:showSerName val="0"/>
          <c:showPercent val="0"/>
          <c:showBubbleSize val="0"/>
        </c:dLbls>
        <c:gapWidth val="119"/>
        <c:overlap val="-48"/>
        <c:axId val="152972768"/>
        <c:axId val="152984368"/>
      </c:barChart>
      <c:catAx>
        <c:axId val="15297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84368"/>
        <c:crosses val="autoZero"/>
        <c:auto val="1"/>
        <c:lblAlgn val="ctr"/>
        <c:lblOffset val="100"/>
        <c:noMultiLvlLbl val="0"/>
      </c:catAx>
      <c:valAx>
        <c:axId val="152984368"/>
        <c:scaling>
          <c:orientation val="minMax"/>
          <c:min val="-7000"/>
        </c:scaling>
        <c:delete val="0"/>
        <c:axPos val="b"/>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2972768"/>
        <c:crosses val="autoZero"/>
        <c:crossBetween val="between"/>
        <c:majorUnit val="6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b="1" i="0" baseline="0">
                <a:effectLst/>
              </a:rPr>
              <a:t>Erogaciones por Funciones de Gobierno</a:t>
            </a:r>
            <a:endParaRPr lang="es-GT" sz="1200">
              <a:effectLst/>
            </a:endParaRPr>
          </a:p>
          <a:p>
            <a:pPr>
              <a:defRPr sz="1200">
                <a:solidFill>
                  <a:sysClr val="windowText" lastClr="000000"/>
                </a:solidFill>
              </a:defRPr>
            </a:pPr>
            <a:r>
              <a:rPr lang="es-GT" sz="1100" b="1" i="0" baseline="0">
                <a:effectLst/>
              </a:rPr>
              <a:t>Variaciones interanuales acumuladas a septiembre de cada año </a:t>
            </a:r>
            <a:endParaRPr lang="es-GT" sz="1100">
              <a:effectLst/>
            </a:endParaRPr>
          </a:p>
          <a:p>
            <a:pPr>
              <a:defRPr sz="1200">
                <a:solidFill>
                  <a:sysClr val="windowText" lastClr="000000"/>
                </a:solidFill>
              </a:defRPr>
            </a:pPr>
            <a:r>
              <a:rPr lang="es-GT" sz="1000" b="0" i="0" baseline="0">
                <a:effectLst/>
              </a:rPr>
              <a:t>En millones de quetzales</a:t>
            </a:r>
            <a:endParaRPr lang="es-GT" sz="1000">
              <a:effectLst/>
            </a:endParaRPr>
          </a:p>
        </c:rich>
      </c:tx>
      <c:layout>
        <c:manualLayout>
          <c:xMode val="edge"/>
          <c:yMode val="edge"/>
          <c:x val="0.15600947645293534"/>
          <c:y val="0"/>
        </c:manualLayout>
      </c:layout>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32780253795046432"/>
          <c:y val="0.16219909058157411"/>
          <c:w val="0.68935531496062996"/>
          <c:h val="0.7744921030041646"/>
        </c:manualLayout>
      </c:layout>
      <c:barChart>
        <c:barDir val="bar"/>
        <c:grouping val="clustered"/>
        <c:varyColors val="0"/>
        <c:ser>
          <c:idx val="0"/>
          <c:order val="0"/>
          <c:tx>
            <c:strRef>
              <c:f>Hoja1!$B$1</c:f>
              <c:strCache>
                <c:ptCount val="1"/>
                <c:pt idx="0">
                  <c:v>2023*</c:v>
                </c:pt>
              </c:strCache>
            </c:strRef>
          </c:tx>
          <c:spPr>
            <a:solidFill>
              <a:srgbClr val="4BACC6">
                <a:lumMod val="75000"/>
              </a:srgbClr>
            </a:solidFill>
            <a:ln>
              <a:solidFill>
                <a:sysClr val="windowText" lastClr="000000"/>
              </a:solid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Hoja1!$A$2:$A$11</c:f>
              <c:strCache>
                <c:ptCount val="10"/>
                <c:pt idx="0">
                  <c:v>Servicios públicos generales </c:v>
                </c:pt>
                <c:pt idx="1">
                  <c:v>Protección social </c:v>
                </c:pt>
                <c:pt idx="2">
                  <c:v>Educación </c:v>
                </c:pt>
                <c:pt idx="3">
                  <c:v>Orden público y seguridad </c:v>
                </c:pt>
                <c:pt idx="4">
                  <c:v>Salud </c:v>
                </c:pt>
                <c:pt idx="5">
                  <c:v>Vivienda y servicios comunitarios </c:v>
                </c:pt>
                <c:pt idx="6">
                  <c:v>Actividades recreativas, cultura y religión </c:v>
                </c:pt>
                <c:pt idx="7">
                  <c:v>Asuntos económicos </c:v>
                </c:pt>
                <c:pt idx="8">
                  <c:v>Protección del medio ambiente </c:v>
                </c:pt>
                <c:pt idx="9">
                  <c:v>Defensa </c:v>
                </c:pt>
              </c:strCache>
            </c:strRef>
          </c:cat>
          <c:val>
            <c:numRef>
              <c:f>Hoja1!$B$2:$B$11</c:f>
              <c:numCache>
                <c:formatCode>_-* #,##0.0_-;\-* #,##0.0_-;_-* "-"??_-;_-@_-</c:formatCode>
                <c:ptCount val="10"/>
                <c:pt idx="0">
                  <c:v>3180.5195864399975</c:v>
                </c:pt>
                <c:pt idx="1">
                  <c:v>3094.8</c:v>
                </c:pt>
                <c:pt idx="2">
                  <c:v>2442.6093348700015</c:v>
                </c:pt>
                <c:pt idx="3">
                  <c:v>1789.065939979997</c:v>
                </c:pt>
                <c:pt idx="4">
                  <c:v>1372.0899753200028</c:v>
                </c:pt>
                <c:pt idx="5">
                  <c:v>722.17117907999955</c:v>
                </c:pt>
                <c:pt idx="6">
                  <c:v>473.44372396999961</c:v>
                </c:pt>
                <c:pt idx="7">
                  <c:v>288.20412838000084</c:v>
                </c:pt>
                <c:pt idx="8">
                  <c:v>241.21989577999966</c:v>
                </c:pt>
                <c:pt idx="9">
                  <c:v>-108.63552200999993</c:v>
                </c:pt>
              </c:numCache>
            </c:numRef>
          </c:val>
          <c:extLst>
            <c:ext xmlns:c16="http://schemas.microsoft.com/office/drawing/2014/chart" uri="{C3380CC4-5D6E-409C-BE32-E72D297353CC}">
              <c16:uniqueId val="{00000005-0D54-4E08-A47A-DB0E13A836B8}"/>
            </c:ext>
          </c:extLst>
        </c:ser>
        <c:ser>
          <c:idx val="1"/>
          <c:order val="1"/>
          <c:tx>
            <c:strRef>
              <c:f>Hoja1!$C$1</c:f>
              <c:strCache>
                <c:ptCount val="1"/>
                <c:pt idx="0">
                  <c:v>2022</c:v>
                </c:pt>
              </c:strCache>
            </c:strRef>
          </c:tx>
          <c:spPr>
            <a:solidFill>
              <a:srgbClr val="EEECE1">
                <a:lumMod val="75000"/>
              </a:srgbClr>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0"/>
                  <c:y val="-5.90405904059051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8F-40C9-B060-4C15B577514B}"/>
                </c:ext>
              </c:extLst>
            </c:dLbl>
            <c:dLbl>
              <c:idx val="1"/>
              <c:layout>
                <c:manualLayout>
                  <c:x val="0"/>
                  <c:y val="-5.90405904059051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54-4E08-A47A-DB0E13A836B8}"/>
                </c:ext>
              </c:extLst>
            </c:dLbl>
            <c:dLbl>
              <c:idx val="7"/>
              <c:layout>
                <c:manualLayout>
                  <c:x val="-7.846403401476049E-17"/>
                  <c:y val="-6.4308681672026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10-4CE9-ACCA-F53BCBE4858D}"/>
                </c:ext>
              </c:extLst>
            </c:dLbl>
            <c:dLbl>
              <c:idx val="9"/>
              <c:layout>
                <c:manualLayout>
                  <c:x val="0"/>
                  <c:y val="-1.2402388608176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10-4CE9-ACCA-F53BCBE4858D}"/>
                </c:ext>
              </c:extLst>
            </c:dLbl>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Hoja1!$A$2:$A$11</c:f>
              <c:strCache>
                <c:ptCount val="10"/>
                <c:pt idx="0">
                  <c:v>Servicios públicos generales </c:v>
                </c:pt>
                <c:pt idx="1">
                  <c:v>Protección social </c:v>
                </c:pt>
                <c:pt idx="2">
                  <c:v>Educación </c:v>
                </c:pt>
                <c:pt idx="3">
                  <c:v>Orden público y seguridad </c:v>
                </c:pt>
                <c:pt idx="4">
                  <c:v>Salud </c:v>
                </c:pt>
                <c:pt idx="5">
                  <c:v>Vivienda y servicios comunitarios </c:v>
                </c:pt>
                <c:pt idx="6">
                  <c:v>Actividades recreativas, cultura y religión </c:v>
                </c:pt>
                <c:pt idx="7">
                  <c:v>Asuntos económicos </c:v>
                </c:pt>
                <c:pt idx="8">
                  <c:v>Protección del medio ambiente </c:v>
                </c:pt>
                <c:pt idx="9">
                  <c:v>Defensa </c:v>
                </c:pt>
              </c:strCache>
            </c:strRef>
          </c:cat>
          <c:val>
            <c:numRef>
              <c:f>Hoja1!$C$2:$C$11</c:f>
              <c:numCache>
                <c:formatCode>_-* #,##0.0_-;\-* #,##0.0_-;_-* "-"??_-;_-@_-</c:formatCode>
                <c:ptCount val="10"/>
                <c:pt idx="0">
                  <c:v>856.19543566000175</c:v>
                </c:pt>
                <c:pt idx="1">
                  <c:v>1387.9257721899994</c:v>
                </c:pt>
                <c:pt idx="2">
                  <c:v>2010.6638168999998</c:v>
                </c:pt>
                <c:pt idx="3">
                  <c:v>823.25203235999834</c:v>
                </c:pt>
                <c:pt idx="4">
                  <c:v>1326.47013677</c:v>
                </c:pt>
                <c:pt idx="5">
                  <c:v>107.9966398800002</c:v>
                </c:pt>
                <c:pt idx="6">
                  <c:v>237.33253751000007</c:v>
                </c:pt>
                <c:pt idx="7">
                  <c:v>2940.4972706899998</c:v>
                </c:pt>
                <c:pt idx="8">
                  <c:v>114.52816284000028</c:v>
                </c:pt>
                <c:pt idx="9">
                  <c:v>437.60451638000018</c:v>
                </c:pt>
              </c:numCache>
            </c:numRef>
          </c:val>
          <c:extLst>
            <c:ext xmlns:c16="http://schemas.microsoft.com/office/drawing/2014/chart" uri="{C3380CC4-5D6E-409C-BE32-E72D297353CC}">
              <c16:uniqueId val="{00000007-0D54-4E08-A47A-DB0E13A836B8}"/>
            </c:ext>
          </c:extLst>
        </c:ser>
        <c:dLbls>
          <c:showLegendKey val="0"/>
          <c:showVal val="0"/>
          <c:showCatName val="0"/>
          <c:showSerName val="0"/>
          <c:showPercent val="0"/>
          <c:showBubbleSize val="0"/>
        </c:dLbls>
        <c:gapWidth val="247"/>
        <c:axId val="1170388288"/>
        <c:axId val="1181658512"/>
      </c:barChart>
      <c:catAx>
        <c:axId val="1170388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181658512"/>
        <c:crosses val="autoZero"/>
        <c:auto val="1"/>
        <c:lblAlgn val="ctr"/>
        <c:lblOffset val="100"/>
        <c:noMultiLvlLbl val="0"/>
      </c:catAx>
      <c:valAx>
        <c:axId val="1181658512"/>
        <c:scaling>
          <c:orientation val="minMax"/>
        </c:scaling>
        <c:delete val="0"/>
        <c:axPos val="b"/>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170388288"/>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86913631837107452"/>
          <c:y val="0.15522068043381371"/>
          <c:w val="9.2958543888412404E-2"/>
          <c:h val="0.1034370797794504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1">
                <a:solidFill>
                  <a:sysClr val="windowText" lastClr="000000"/>
                </a:solidFill>
              </a:rPr>
              <a:t>Ingresos Totales por clasificación MEFP</a:t>
            </a:r>
          </a:p>
          <a:p>
            <a:pPr>
              <a:defRPr/>
            </a:pPr>
            <a:r>
              <a:rPr lang="en-US" sz="1100" b="1">
                <a:solidFill>
                  <a:sysClr val="windowText" lastClr="000000"/>
                </a:solidFill>
              </a:rPr>
              <a:t>Variación interanual acumulada a septiembre</a:t>
            </a:r>
            <a:r>
              <a:rPr lang="en-US" sz="1100" b="1" baseline="0">
                <a:solidFill>
                  <a:sysClr val="windowText" lastClr="000000"/>
                </a:solidFill>
              </a:rPr>
              <a:t> </a:t>
            </a:r>
            <a:r>
              <a:rPr lang="en-US" sz="1100" b="1">
                <a:solidFill>
                  <a:sysClr val="windowText" lastClr="000000"/>
                </a:solidFill>
              </a:rPr>
              <a:t>2023*</a:t>
            </a:r>
          </a:p>
          <a:p>
            <a:pPr>
              <a:defRPr/>
            </a:pPr>
            <a:r>
              <a:rPr lang="en-US" sz="1000" b="0">
                <a:solidFill>
                  <a:sysClr val="windowText" lastClr="000000"/>
                </a:solidFill>
              </a:rPr>
              <a:t>En millones de Quetzales</a:t>
            </a:r>
          </a:p>
        </c:rich>
      </c:tx>
      <c:layout>
        <c:manualLayout>
          <c:xMode val="edge"/>
          <c:yMode val="edge"/>
          <c:x val="0.26254132099927324"/>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4.0408336877924285E-2"/>
          <c:y val="0.29140255058479136"/>
          <c:w val="0.94778901254952663"/>
          <c:h val="0.5942277094881212"/>
        </c:manualLayout>
      </c:layout>
      <c:barChart>
        <c:barDir val="col"/>
        <c:grouping val="clustered"/>
        <c:varyColors val="0"/>
        <c:ser>
          <c:idx val="0"/>
          <c:order val="0"/>
          <c:tx>
            <c:strRef>
              <c:f>Hoja1!$B$1</c:f>
              <c:strCache>
                <c:ptCount val="1"/>
                <c:pt idx="0">
                  <c:v>Diferencia acumulada en Q</c:v>
                </c:pt>
              </c:strCache>
            </c:strRef>
          </c:tx>
          <c:spPr>
            <a:solidFill>
              <a:srgbClr val="4F6228"/>
            </a:solidFill>
            <a:ln>
              <a:solidFill>
                <a:schemeClr val="tx1"/>
              </a:solidFill>
            </a:ln>
            <a:effectLst>
              <a:outerShdw blurRad="50800" dist="38100" dir="18900000" algn="bl" rotWithShape="0">
                <a:prstClr val="black">
                  <a:alpha val="40000"/>
                </a:prstClr>
              </a:outerShdw>
            </a:effectLst>
          </c:spPr>
          <c:invertIfNegative val="1"/>
          <c:dPt>
            <c:idx val="0"/>
            <c:invertIfNegative val="1"/>
            <c:bubble3D val="0"/>
            <c:spPr>
              <a:solidFill>
                <a:schemeClr val="accent3">
                  <a:lumMod val="50000"/>
                </a:schemeClr>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8E98-45B9-BB85-2A9E49D1FDE5}"/>
              </c:ext>
            </c:extLst>
          </c:dPt>
          <c:dPt>
            <c:idx val="3"/>
            <c:invertIfNegative val="0"/>
            <c:bubble3D val="0"/>
            <c:spPr>
              <a:solidFill>
                <a:schemeClr val="accent3">
                  <a:lumMod val="50000"/>
                </a:schemeClr>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8E98-45B9-BB85-2A9E49D1FDE5}"/>
              </c:ext>
            </c:extLst>
          </c:dPt>
          <c:dPt>
            <c:idx val="4"/>
            <c:invertIfNegative val="0"/>
            <c:bubble3D val="0"/>
            <c:spPr>
              <a:solidFill>
                <a:schemeClr val="tx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8E98-45B9-BB85-2A9E49D1FDE5}"/>
              </c:ext>
            </c:extLst>
          </c:dPt>
          <c:dLbls>
            <c:dLbl>
              <c:idx val="4"/>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showLegendKey val="0"/>
              <c:showVal val="1"/>
              <c:showCatName val="0"/>
              <c:showSerName val="0"/>
              <c:showPercent val="0"/>
              <c:showBubbleSize val="0"/>
              <c:extLst>
                <c:ext xmlns:c16="http://schemas.microsoft.com/office/drawing/2014/chart" uri="{C3380CC4-5D6E-409C-BE32-E72D297353CC}">
                  <c16:uniqueId val="{00000005-8E98-45B9-BB85-2A9E49D1FDE5}"/>
                </c:ext>
              </c:extLst>
            </c:dLbl>
            <c:spPr>
              <a:noFill/>
              <a:ln>
                <a:noFill/>
              </a:ln>
              <a:effectLst/>
            </c:spPr>
            <c:txPr>
              <a:bodyPr rot="0" spcFirstLastPara="1" vertOverflow="ellipsis" vert="horz" wrap="square" anchor="ctr" anchorCtr="1"/>
              <a:lstStyle/>
              <a:p>
                <a:pPr>
                  <a:defRPr sz="900" b="0" i="0" u="none" strike="noStrike" kern="1200" baseline="0">
                    <a:solidFill>
                      <a:schemeClr val="accent3">
                        <a:lumMod val="50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Hoja1!$A$2:$A$6</c:f>
              <c:strCache>
                <c:ptCount val="5"/>
                <c:pt idx="0">
                  <c:v>Impuestos </c:v>
                </c:pt>
                <c:pt idx="1">
                  <c:v>Contribuciones sociales </c:v>
                </c:pt>
                <c:pt idx="2">
                  <c:v>Otros ingresos </c:v>
                </c:pt>
                <c:pt idx="3">
                  <c:v>Donaciones </c:v>
                </c:pt>
                <c:pt idx="4">
                  <c:v>Ingresos Totales</c:v>
                </c:pt>
              </c:strCache>
            </c:strRef>
          </c:cat>
          <c:val>
            <c:numRef>
              <c:f>Hoja1!$B$2:$B$6</c:f>
              <c:numCache>
                <c:formatCode>#,##0.0_ ;[Red]\-#,##0.0\ </c:formatCode>
                <c:ptCount val="5"/>
                <c:pt idx="0">
                  <c:v>5573.6238421000162</c:v>
                </c:pt>
                <c:pt idx="1">
                  <c:v>2190.3229508000004</c:v>
                </c:pt>
                <c:pt idx="2">
                  <c:v>1398.4650231999985</c:v>
                </c:pt>
                <c:pt idx="3">
                  <c:v>-48.08793278000033</c:v>
                </c:pt>
                <c:pt idx="4">
                  <c:v>9114.3238833200139</c:v>
                </c:pt>
              </c:numCache>
            </c:numRef>
          </c:val>
          <c:extLst>
            <c:ext xmlns:c14="http://schemas.microsoft.com/office/drawing/2007/8/2/chart" uri="{6F2FDCE9-48DA-4B69-8628-5D25D57E5C99}">
              <c14:invertSolidFillFmt>
                <c14:spPr xmlns:c14="http://schemas.microsoft.com/office/drawing/2007/8/2/chart">
                  <a:solidFill>
                    <a:srgbClr val="C0504D"/>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6-8E98-45B9-BB85-2A9E49D1FDE5}"/>
            </c:ext>
          </c:extLst>
        </c:ser>
        <c:dLbls>
          <c:showLegendKey val="0"/>
          <c:showVal val="0"/>
          <c:showCatName val="0"/>
          <c:showSerName val="0"/>
          <c:showPercent val="0"/>
          <c:showBubbleSize val="0"/>
        </c:dLbls>
        <c:gapWidth val="267"/>
        <c:axId val="415018800"/>
        <c:axId val="408568416"/>
      </c:barChart>
      <c:catAx>
        <c:axId val="415018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08568416"/>
        <c:crosses val="autoZero"/>
        <c:auto val="1"/>
        <c:lblAlgn val="ctr"/>
        <c:lblOffset val="100"/>
        <c:noMultiLvlLbl val="0"/>
      </c:catAx>
      <c:valAx>
        <c:axId val="408568416"/>
        <c:scaling>
          <c:orientation val="minMax"/>
        </c:scaling>
        <c:delete val="0"/>
        <c:axPos val="l"/>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150188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100" b="1" i="0" baseline="0">
                <a:effectLst/>
              </a:rPr>
              <a:t>Impuestos por clasificación MEFP</a:t>
            </a:r>
            <a:endParaRPr lang="es-GT" sz="1100">
              <a:effectLst/>
            </a:endParaRPr>
          </a:p>
          <a:p>
            <a:pPr>
              <a:defRPr b="0">
                <a:solidFill>
                  <a:sysClr val="windowText" lastClr="000000"/>
                </a:solidFill>
              </a:defRPr>
            </a:pPr>
            <a:r>
              <a:rPr lang="es-GT" sz="900" b="1" i="0" baseline="0">
                <a:effectLst/>
              </a:rPr>
              <a:t>Variación interanual acumulada </a:t>
            </a:r>
          </a:p>
          <a:p>
            <a:pPr>
              <a:defRPr b="0">
                <a:solidFill>
                  <a:sysClr val="windowText" lastClr="000000"/>
                </a:solidFill>
              </a:defRPr>
            </a:pPr>
            <a:r>
              <a:rPr lang="es-GT" sz="900" b="1" i="0" baseline="0">
                <a:effectLst/>
              </a:rPr>
              <a:t>A septiembre de cada año* </a:t>
            </a:r>
            <a:endParaRPr lang="es-GT" sz="900">
              <a:effectLst/>
            </a:endParaRPr>
          </a:p>
          <a:p>
            <a:pPr>
              <a:defRPr b="0">
                <a:solidFill>
                  <a:sysClr val="windowText" lastClr="000000"/>
                </a:solidFill>
              </a:defRPr>
            </a:pPr>
            <a:r>
              <a:rPr lang="es-GT" sz="1000" b="0" i="0" baseline="0">
                <a:effectLst/>
              </a:rPr>
              <a:t>En millones de quetzales</a:t>
            </a:r>
            <a:endParaRPr lang="es-GT" sz="1000">
              <a:effectLst/>
            </a:endParaRPr>
          </a:p>
        </c:rich>
      </c:tx>
      <c:layout>
        <c:manualLayout>
          <c:xMode val="edge"/>
          <c:yMode val="edge"/>
          <c:x val="0.11980660657118233"/>
          <c:y val="1.5077442242796574E-3"/>
        </c:manualLayout>
      </c:layout>
      <c:overlay val="0"/>
      <c:spPr>
        <a:noFill/>
        <a:ln>
          <a:noFill/>
        </a:ln>
        <a:effectLst/>
      </c:spPr>
      <c:txPr>
        <a:bodyPr rot="0" spcFirstLastPara="1" vertOverflow="ellipsis" vert="horz" wrap="square" anchor="ctr" anchorCtr="1"/>
        <a:lstStyle/>
        <a:p>
          <a:pPr>
            <a:defRPr sz="16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53206955350567453"/>
          <c:y val="0.13770604718147805"/>
          <c:w val="0.34934964456039425"/>
          <c:h val="0.79259317237432791"/>
        </c:manualLayout>
      </c:layout>
      <c:barChart>
        <c:barDir val="bar"/>
        <c:grouping val="clustered"/>
        <c:varyColors val="0"/>
        <c:ser>
          <c:idx val="0"/>
          <c:order val="0"/>
          <c:tx>
            <c:strRef>
              <c:f>Hoja1!$B$1</c:f>
              <c:strCache>
                <c:ptCount val="1"/>
                <c:pt idx="0">
                  <c:v>2023*</c:v>
                </c:pt>
              </c:strCache>
            </c:strRef>
          </c:tx>
          <c:spPr>
            <a:solidFill>
              <a:srgbClr val="4BACC6">
                <a:lumMod val="60000"/>
                <a:lumOff val="40000"/>
              </a:srgbClr>
            </a:solidFill>
            <a:ln>
              <a:solidFill>
                <a:sysClr val="windowText" lastClr="000000"/>
              </a:solidFill>
            </a:ln>
            <a:effectLst>
              <a:outerShdw blurRad="50800" dist="38100" dir="18900000" algn="bl" rotWithShape="0">
                <a:prstClr val="black">
                  <a:alpha val="40000"/>
                </a:prstClr>
              </a:outerShdw>
            </a:effectLst>
          </c:spPr>
          <c:invertIfNegative val="0"/>
          <c:dPt>
            <c:idx val="0"/>
            <c:invertIfNegative val="0"/>
            <c:bubble3D val="0"/>
            <c:spPr>
              <a:solidFill>
                <a:srgbClr val="1F497D"/>
              </a:solidFill>
              <a:ln>
                <a:solidFill>
                  <a:sysClr val="windowText" lastClr="000000"/>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FE5F-4C09-B9BD-837B57113284}"/>
              </c:ext>
            </c:extLst>
          </c:dPt>
          <c:dLbls>
            <c:dLbl>
              <c:idx val="0"/>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GT"/>
                </a:p>
              </c:txPr>
              <c:dLblPos val="outEnd"/>
              <c:showLegendKey val="0"/>
              <c:showVal val="1"/>
              <c:showCatName val="0"/>
              <c:showSerName val="0"/>
              <c:showPercent val="0"/>
              <c:showBubbleSize val="0"/>
              <c:extLst>
                <c:ext xmlns:c16="http://schemas.microsoft.com/office/drawing/2014/chart" uri="{C3380CC4-5D6E-409C-BE32-E72D297353CC}">
                  <c16:uniqueId val="{00000001-FE5F-4C09-B9BD-837B57113284}"/>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accent5">
                        <a:lumMod val="7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Hoja1!$A$2:$A$8</c:f>
              <c:strCache>
                <c:ptCount val="7"/>
                <c:pt idx="0">
                  <c:v>Impuestos Totales</c:v>
                </c:pt>
                <c:pt idx="1">
                  <c:v>Impuestos sobre el ingreso, las utilidades y las ganancias de capital </c:v>
                </c:pt>
                <c:pt idx="2">
                  <c:v>Impuestos sobre los bienes y servicios </c:v>
                </c:pt>
                <c:pt idx="3">
                  <c:v>Impuestos sobre el comercio y las transacciones internacionales </c:v>
                </c:pt>
                <c:pt idx="4">
                  <c:v>Impuestos sobre la nómina y la fuerza de trabajo </c:v>
                </c:pt>
                <c:pt idx="5">
                  <c:v>Impuestos sobre la propiedad </c:v>
                </c:pt>
                <c:pt idx="6">
                  <c:v>Otros impuestos </c:v>
                </c:pt>
              </c:strCache>
            </c:strRef>
          </c:cat>
          <c:val>
            <c:numRef>
              <c:f>Hoja1!$B$2:$B$8</c:f>
              <c:numCache>
                <c:formatCode>#,##0.0_ ;[Red]\-#,##0.0\ </c:formatCode>
                <c:ptCount val="7"/>
                <c:pt idx="0" formatCode="_(* #,##0.00_);_(* \(#,##0.00\);_(* &quot;-&quot;??_);_(@_)">
                  <c:v>5573.6238421000044</c:v>
                </c:pt>
                <c:pt idx="1">
                  <c:v>2706.6328116700024</c:v>
                </c:pt>
                <c:pt idx="2">
                  <c:v>2564.7391143400018</c:v>
                </c:pt>
                <c:pt idx="3" formatCode="_(* #,##0.00_);_(* \(#,##0.00\);_(* &quot;-&quot;??_);_(@_)">
                  <c:v>203.12575055000025</c:v>
                </c:pt>
                <c:pt idx="4">
                  <c:v>89.903913690000081</c:v>
                </c:pt>
                <c:pt idx="5">
                  <c:v>15.463594349999994</c:v>
                </c:pt>
                <c:pt idx="6">
                  <c:v>-6.2413424999998597</c:v>
                </c:pt>
              </c:numCache>
            </c:numRef>
          </c:val>
          <c:extLst>
            <c:ext xmlns:c16="http://schemas.microsoft.com/office/drawing/2014/chart" uri="{C3380CC4-5D6E-409C-BE32-E72D297353CC}">
              <c16:uniqueId val="{00000002-FE5F-4C09-B9BD-837B57113284}"/>
            </c:ext>
          </c:extLst>
        </c:ser>
        <c:ser>
          <c:idx val="1"/>
          <c:order val="1"/>
          <c:tx>
            <c:strRef>
              <c:f>Hoja1!$C$1</c:f>
              <c:strCache>
                <c:ptCount val="1"/>
                <c:pt idx="0">
                  <c:v>2022</c:v>
                </c:pt>
              </c:strCache>
            </c:strRef>
          </c:tx>
          <c:spPr>
            <a:solidFill>
              <a:srgbClr val="EEECE1">
                <a:lumMod val="75000"/>
              </a:srgbClr>
            </a:solidFill>
            <a:ln>
              <a:solidFill>
                <a:sysClr val="windowText" lastClr="000000"/>
              </a:solidFill>
            </a:ln>
            <a:effectLst>
              <a:outerShdw blurRad="50800" dist="38100" dir="18900000" algn="bl" rotWithShape="0">
                <a:prstClr val="black">
                  <a:alpha val="40000"/>
                </a:prstClr>
              </a:outerShdw>
            </a:effectLst>
          </c:spPr>
          <c:invertIfNegative val="0"/>
          <c:dPt>
            <c:idx val="0"/>
            <c:invertIfNegative val="0"/>
            <c:bubble3D val="0"/>
            <c:spPr>
              <a:solidFill>
                <a:srgbClr val="EEECE1">
                  <a:lumMod val="50000"/>
                </a:srgbClr>
              </a:solidFill>
              <a:ln>
                <a:solidFill>
                  <a:sysClr val="windowText" lastClr="000000"/>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FE5F-4C09-B9BD-837B57113284}"/>
              </c:ext>
            </c:extLst>
          </c:dPt>
          <c:dLbls>
            <c:dLbl>
              <c:idx val="0"/>
              <c:layout>
                <c:manualLayout>
                  <c:x val="0"/>
                  <c:y val="-7.025628667122419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5F-4C09-B9BD-837B57113284}"/>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2">
                        <a:lumMod val="2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Hoja1!$A$2:$A$8</c:f>
              <c:strCache>
                <c:ptCount val="7"/>
                <c:pt idx="0">
                  <c:v>Impuestos Totales</c:v>
                </c:pt>
                <c:pt idx="1">
                  <c:v>Impuestos sobre el ingreso, las utilidades y las ganancias de capital </c:v>
                </c:pt>
                <c:pt idx="2">
                  <c:v>Impuestos sobre los bienes y servicios </c:v>
                </c:pt>
                <c:pt idx="3">
                  <c:v>Impuestos sobre el comercio y las transacciones internacionales </c:v>
                </c:pt>
                <c:pt idx="4">
                  <c:v>Impuestos sobre la nómina y la fuerza de trabajo </c:v>
                </c:pt>
                <c:pt idx="5">
                  <c:v>Impuestos sobre la propiedad </c:v>
                </c:pt>
                <c:pt idx="6">
                  <c:v>Otros impuestos </c:v>
                </c:pt>
              </c:strCache>
            </c:strRef>
          </c:cat>
          <c:val>
            <c:numRef>
              <c:f>Hoja1!$C$2:$C$8</c:f>
              <c:numCache>
                <c:formatCode>_(* #,##0.00_);_(* \(#,##0.00\);_(* "-"??_);_(@_)</c:formatCode>
                <c:ptCount val="7"/>
                <c:pt idx="0">
                  <c:v>9837.618798049989</c:v>
                </c:pt>
                <c:pt idx="1">
                  <c:v>3663.15267675</c:v>
                </c:pt>
                <c:pt idx="2">
                  <c:v>5510.3876610899897</c:v>
                </c:pt>
                <c:pt idx="3" formatCode="#,##0.0_ ;[Red]\-#,##0.0\ ">
                  <c:v>411.46268462999979</c:v>
                </c:pt>
                <c:pt idx="4">
                  <c:v>65.510874039999976</c:v>
                </c:pt>
                <c:pt idx="5">
                  <c:v>139.31337463999989</c:v>
                </c:pt>
                <c:pt idx="6">
                  <c:v>47.791526899999951</c:v>
                </c:pt>
              </c:numCache>
            </c:numRef>
          </c:val>
          <c:extLst>
            <c:ext xmlns:c16="http://schemas.microsoft.com/office/drawing/2014/chart" uri="{C3380CC4-5D6E-409C-BE32-E72D297353CC}">
              <c16:uniqueId val="{00000005-FE5F-4C09-B9BD-837B57113284}"/>
            </c:ext>
          </c:extLst>
        </c:ser>
        <c:dLbls>
          <c:showLegendKey val="0"/>
          <c:showVal val="0"/>
          <c:showCatName val="0"/>
          <c:showSerName val="0"/>
          <c:showPercent val="0"/>
          <c:showBubbleSize val="0"/>
        </c:dLbls>
        <c:gapWidth val="247"/>
        <c:axId val="1916956256"/>
        <c:axId val="1924152624"/>
      </c:barChart>
      <c:dateAx>
        <c:axId val="1916956256"/>
        <c:scaling>
          <c:orientation val="minMax"/>
        </c:scaling>
        <c:delete val="0"/>
        <c:axPos val="l"/>
        <c:majorGridlines>
          <c:spPr>
            <a:ln w="9525" cap="flat" cmpd="sng" algn="ctr">
              <a:solidFill>
                <a:schemeClr val="dk1">
                  <a:lumMod val="15000"/>
                  <a:lumOff val="85000"/>
                </a:schemeClr>
              </a:solidFill>
              <a:round/>
            </a:ln>
            <a:effectLst/>
          </c:spPr>
        </c:majorGridlines>
        <c:minorGridlines>
          <c:spPr>
            <a:ln w="9525" cap="flat" cmpd="sng" algn="ctr">
              <a:solidFill>
                <a:schemeClr val="dk1">
                  <a:lumMod val="5000"/>
                  <a:lumOff val="95000"/>
                </a:schemeClr>
              </a:solidFill>
              <a:round/>
            </a:ln>
            <a:effectLst/>
          </c:spPr>
        </c:minorGridlines>
        <c:numFmt formatCode="@" sourceLinked="0"/>
        <c:majorTickMark val="out"/>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0"/>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924152624"/>
        <c:crosses val="autoZero"/>
        <c:auto val="0"/>
        <c:lblOffset val="100"/>
        <c:baseTimeUnit val="days"/>
      </c:dateAx>
      <c:valAx>
        <c:axId val="1924152624"/>
        <c:scaling>
          <c:orientation val="minMax"/>
          <c:max val="10000"/>
        </c:scaling>
        <c:delete val="1"/>
        <c:axPos val="b"/>
        <c:numFmt formatCode="_(* #,##0.00_);_(* \(#,##0.00\);_(* &quot;-&quot;??_);_(@_)" sourceLinked="1"/>
        <c:majorTickMark val="out"/>
        <c:minorTickMark val="none"/>
        <c:tickLblPos val="nextTo"/>
        <c:crossAx val="1916956256"/>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81697555201841787"/>
          <c:y val="0.12939041168561685"/>
          <c:w val="0.17752709450079315"/>
          <c:h val="4.467995178535088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a:t>Contribuciones</a:t>
            </a:r>
            <a:r>
              <a:rPr lang="es-GT" sz="1200" baseline="0"/>
              <a:t> Sociales</a:t>
            </a:r>
          </a:p>
          <a:p>
            <a:pPr>
              <a:defRPr sz="900">
                <a:solidFill>
                  <a:sysClr val="windowText" lastClr="000000"/>
                </a:solidFill>
              </a:defRPr>
            </a:pPr>
            <a:r>
              <a:rPr lang="es-GT" sz="1100" baseline="0"/>
              <a:t>Variación interanual acumulada</a:t>
            </a:r>
          </a:p>
          <a:p>
            <a:pPr>
              <a:defRPr sz="900">
                <a:solidFill>
                  <a:sysClr val="windowText" lastClr="000000"/>
                </a:solidFill>
              </a:defRPr>
            </a:pPr>
            <a:r>
              <a:rPr lang="es-GT" sz="1000" b="0" baseline="0"/>
              <a:t>En porcentajes</a:t>
            </a:r>
            <a:endParaRPr lang="es-GT" sz="1000" b="0"/>
          </a:p>
        </c:rich>
      </c:tx>
      <c:layout>
        <c:manualLayout>
          <c:xMode val="edge"/>
          <c:yMode val="edge"/>
          <c:x val="0.32612674611845766"/>
          <c:y val="0"/>
        </c:manualLayout>
      </c:layout>
      <c:overlay val="1"/>
      <c:spPr>
        <a:noFill/>
        <a:ln>
          <a:noFill/>
        </a:ln>
        <a:effectLst/>
      </c:spPr>
      <c:txPr>
        <a:bodyPr rot="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5.0673161848705683E-2"/>
          <c:y val="0.21932852143482065"/>
          <c:w val="0.93416876106164515"/>
          <c:h val="0.54696959755030616"/>
        </c:manualLayout>
      </c:layout>
      <c:lineChart>
        <c:grouping val="standard"/>
        <c:varyColors val="0"/>
        <c:ser>
          <c:idx val="2"/>
          <c:order val="0"/>
          <c:tx>
            <c:strRef>
              <c:f>Hoja1!$B$1</c:f>
              <c:strCache>
                <c:ptCount val="1"/>
                <c:pt idx="0">
                  <c:v>2023*</c:v>
                </c:pt>
              </c:strCache>
            </c:strRef>
          </c:tx>
          <c:spPr>
            <a:ln w="31750" cap="rnd">
              <a:solidFill>
                <a:srgbClr val="9BBB59">
                  <a:lumMod val="50000"/>
                </a:srgbClr>
              </a:solidFill>
              <a:round/>
              <a:tailEnd type="triangle"/>
            </a:ln>
            <a:effectLst>
              <a:outerShdw blurRad="50800" dist="38100" dir="18900000" algn="bl" rotWithShape="0">
                <a:prstClr val="black">
                  <a:alpha val="40000"/>
                </a:prstClr>
              </a:outerShdw>
            </a:effectLst>
          </c:spPr>
          <c:marker>
            <c:symbol val="circle"/>
            <c:size val="4"/>
            <c:spPr>
              <a:solidFill>
                <a:srgbClr val="F79646">
                  <a:lumMod val="75000"/>
                </a:srgbClr>
              </a:solidFill>
              <a:ln w="15875">
                <a:solidFill>
                  <a:srgbClr val="002060"/>
                </a:solidFill>
                <a:round/>
              </a:ln>
              <a:effectLst/>
            </c:spPr>
          </c:marker>
          <c:dLbls>
            <c:spPr>
              <a:solidFill>
                <a:sysClr val="window" lastClr="FFFFFF"/>
              </a:solidFill>
              <a:ln w="9525" cap="flat" cmpd="sng" algn="ctr">
                <a:solidFill>
                  <a:srgbClr val="9BBB59"/>
                </a:solidFill>
                <a:prstDash val="solid"/>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#,##0.0_ ;[Red]\-#,##0.0\ </c:formatCode>
                <c:ptCount val="9"/>
                <c:pt idx="0">
                  <c:v>10.548315897590953</c:v>
                </c:pt>
                <c:pt idx="1">
                  <c:v>13.750099208089917</c:v>
                </c:pt>
                <c:pt idx="2">
                  <c:v>15.374518083167255</c:v>
                </c:pt>
                <c:pt idx="3">
                  <c:v>14.686303137174272</c:v>
                </c:pt>
                <c:pt idx="4">
                  <c:v>14.585937686821659</c:v>
                </c:pt>
                <c:pt idx="5">
                  <c:v>14.231470569591576</c:v>
                </c:pt>
                <c:pt idx="6">
                  <c:v>14.336792820535882</c:v>
                </c:pt>
                <c:pt idx="7">
                  <c:v>15.01352273951202</c:v>
                </c:pt>
                <c:pt idx="8">
                  <c:v>14.999474511236578</c:v>
                </c:pt>
              </c:numCache>
            </c:numRef>
          </c:val>
          <c:smooth val="1"/>
          <c:extLst>
            <c:ext xmlns:c16="http://schemas.microsoft.com/office/drawing/2014/chart" uri="{C3380CC4-5D6E-409C-BE32-E72D297353CC}">
              <c16:uniqueId val="{00000014-297C-418C-9E95-E7036CD84A2D}"/>
            </c:ext>
          </c:extLst>
        </c:ser>
        <c:ser>
          <c:idx val="1"/>
          <c:order val="1"/>
          <c:tx>
            <c:strRef>
              <c:f>Hoja1!$C$1</c:f>
              <c:strCache>
                <c:ptCount val="1"/>
                <c:pt idx="0">
                  <c:v>2022</c:v>
                </c:pt>
              </c:strCache>
            </c:strRef>
          </c:tx>
          <c:spPr>
            <a:ln w="22225" cap="rnd">
              <a:solidFill>
                <a:srgbClr val="C00000"/>
              </a:solidFill>
              <a:prstDash val="dash"/>
              <a:round/>
            </a:ln>
            <a:effectLst>
              <a:outerShdw blurRad="50800" dist="38100" dir="18900000" algn="bl" rotWithShape="0">
                <a:prstClr val="black">
                  <a:alpha val="40000"/>
                </a:prstClr>
              </a:outerShdw>
            </a:effectLst>
          </c:spPr>
          <c:marker>
            <c:symbol val="triangle"/>
            <c:size val="4"/>
            <c:spPr>
              <a:solidFill>
                <a:srgbClr val="1F497D"/>
              </a:solidFill>
              <a:ln w="15875">
                <a:solidFill>
                  <a:sysClr val="windowText" lastClr="000000"/>
                </a:solidFill>
                <a:round/>
              </a:ln>
              <a:effectLst/>
            </c:spPr>
          </c:marker>
          <c:dLbls>
            <c:spPr>
              <a:solidFill>
                <a:sysClr val="window" lastClr="FFFFFF"/>
              </a:solidFill>
              <a:ln w="9525" cap="flat" cmpd="sng" algn="ctr">
                <a:solidFill>
                  <a:srgbClr val="C0504D"/>
                </a:solidFill>
                <a:prstDash val="solid"/>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Hoja1!$C$2:$C$10</c:f>
              <c:numCache>
                <c:formatCode>#,##0.0_ ;[Red]\-#,##0.0\ </c:formatCode>
                <c:ptCount val="9"/>
                <c:pt idx="0">
                  <c:v>5.5471286361882921</c:v>
                </c:pt>
                <c:pt idx="1">
                  <c:v>6.9022362929650027</c:v>
                </c:pt>
                <c:pt idx="2">
                  <c:v>5.3020196016226873</c:v>
                </c:pt>
                <c:pt idx="3">
                  <c:v>5.4948151546662549</c:v>
                </c:pt>
                <c:pt idx="4">
                  <c:v>5.7258737629836354</c:v>
                </c:pt>
                <c:pt idx="5">
                  <c:v>6.1498303215814953</c:v>
                </c:pt>
                <c:pt idx="6">
                  <c:v>5.892722760950786</c:v>
                </c:pt>
                <c:pt idx="7">
                  <c:v>6.0333277460410395</c:v>
                </c:pt>
                <c:pt idx="8">
                  <c:v>6.1918083862348983</c:v>
                </c:pt>
              </c:numCache>
            </c:numRef>
          </c:val>
          <c:smooth val="0"/>
          <c:extLst>
            <c:ext xmlns:c16="http://schemas.microsoft.com/office/drawing/2014/chart" uri="{C3380CC4-5D6E-409C-BE32-E72D297353CC}">
              <c16:uniqueId val="{00000011-297C-418C-9E95-E7036CD84A2D}"/>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7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09281743"/>
        <c:crosses val="autoZero"/>
        <c:crossBetween val="between"/>
        <c:majorUnit val="5"/>
      </c:valAx>
      <c:spPr>
        <a:pattFill prst="ltDnDiag">
          <a:fgClr>
            <a:schemeClr val="dk1">
              <a:lumMod val="15000"/>
              <a:lumOff val="85000"/>
            </a:schemeClr>
          </a:fgClr>
          <a:bgClr>
            <a:schemeClr val="lt1"/>
          </a:bgClr>
        </a:pattFill>
        <a:ln>
          <a:noFill/>
        </a:ln>
        <a:effectLst/>
      </c:spPr>
    </c:plotArea>
    <c:legend>
      <c:legendPos val="t"/>
      <c:layout>
        <c:manualLayout>
          <c:xMode val="edge"/>
          <c:yMode val="edge"/>
          <c:x val="0"/>
          <c:y val="0.83284288369063342"/>
          <c:w val="0.26411483253588519"/>
          <c:h val="8.506892402524751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ln>
                  <a:noFill/>
                </a:ln>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US" sz="1100" b="1" i="0" baseline="0">
                <a:solidFill>
                  <a:sysClr val="windowText" lastClr="000000"/>
                </a:solidFill>
                <a:effectLst/>
              </a:rPr>
              <a:t>Gasto Total</a:t>
            </a:r>
            <a:endParaRPr lang="es-GT" sz="1100" b="1">
              <a:solidFill>
                <a:sysClr val="windowText" lastClr="000000"/>
              </a:solidFill>
              <a:effectLst/>
            </a:endParaRPr>
          </a:p>
          <a:p>
            <a:pPr>
              <a:defRPr>
                <a:ln>
                  <a:noFill/>
                </a:ln>
              </a:defRPr>
            </a:pPr>
            <a:r>
              <a:rPr lang="en-US" sz="1050" b="1" i="0" baseline="0">
                <a:solidFill>
                  <a:sysClr val="windowText" lastClr="000000"/>
                </a:solidFill>
                <a:effectLst/>
              </a:rPr>
              <a:t>Variación internanual acumulada</a:t>
            </a:r>
            <a:endParaRPr lang="es-GT" sz="1050" b="1">
              <a:solidFill>
                <a:sysClr val="windowText" lastClr="000000"/>
              </a:solidFill>
              <a:effectLst/>
            </a:endParaRPr>
          </a:p>
          <a:p>
            <a:pPr>
              <a:defRPr>
                <a:ln>
                  <a:noFill/>
                </a:ln>
              </a:defRPr>
            </a:pPr>
            <a:r>
              <a:rPr lang="en-US" sz="1000" b="0" i="0" baseline="0">
                <a:solidFill>
                  <a:sysClr val="windowText" lastClr="000000"/>
                </a:solidFill>
                <a:effectLst/>
              </a:rPr>
              <a:t>En porcentaje</a:t>
            </a:r>
            <a:endParaRPr lang="es-GT" sz="1000" b="0">
              <a:solidFill>
                <a:sysClr val="windowText" lastClr="000000"/>
              </a:solidFill>
            </a:endParaRPr>
          </a:p>
        </c:rich>
      </c:tx>
      <c:layout>
        <c:manualLayout>
          <c:xMode val="edge"/>
          <c:yMode val="edge"/>
          <c:x val="0.32118969874168091"/>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ln>
                <a:noFill/>
              </a:ln>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
          <c:y val="0.1687897498751178"/>
          <c:w val="0.98959481325520382"/>
          <c:h val="0.63794410427277359"/>
        </c:manualLayout>
      </c:layout>
      <c:barChart>
        <c:barDir val="col"/>
        <c:grouping val="clustered"/>
        <c:varyColors val="0"/>
        <c:ser>
          <c:idx val="0"/>
          <c:order val="1"/>
          <c:tx>
            <c:strRef>
              <c:f>Hoja1!$C$1</c:f>
              <c:strCache>
                <c:ptCount val="1"/>
                <c:pt idx="0">
                  <c:v>2022</c:v>
                </c:pt>
              </c:strCache>
            </c:strRef>
          </c:tx>
          <c:spPr>
            <a:solidFill>
              <a:srgbClr val="4BACC6">
                <a:lumMod val="75000"/>
              </a:srgbClr>
            </a:solidFill>
            <a:ln w="9525" cap="flat" cmpd="sng" algn="ctr">
              <a:solidFill>
                <a:sysClr val="windowText" lastClr="000000"/>
              </a:solidFill>
              <a:round/>
              <a:tailEnd type="triangle"/>
            </a:ln>
            <a:effectLst>
              <a:outerShdw blurRad="50800" dist="38100" dir="18900000" algn="bl" rotWithShape="0">
                <a:prstClr val="black">
                  <a:alpha val="40000"/>
                </a:prstClr>
              </a:outerShdw>
            </a:effectLst>
          </c:spPr>
          <c:invertIfNegative val="0"/>
          <c:dLbls>
            <c:dLbl>
              <c:idx val="0"/>
              <c:layout>
                <c:manualLayout>
                  <c:x val="0"/>
                  <c:y val="4.29491768074445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43-40FF-AA21-75902C43AD0B}"/>
                </c:ext>
              </c:extLst>
            </c:dLbl>
            <c:dLbl>
              <c:idx val="1"/>
              <c:layout>
                <c:manualLayout>
                  <c:x val="0"/>
                  <c:y val="3.28690839199859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5A-47B3-BCCE-FC305F958D06}"/>
                </c:ext>
              </c:extLst>
            </c:dLbl>
            <c:dLbl>
              <c:idx val="2"/>
              <c:layout>
                <c:manualLayout>
                  <c:x val="-3.897761570649259E-17"/>
                  <c:y val="2.8632784538296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43-40FF-AA21-75902C43AD0B}"/>
                </c:ext>
              </c:extLst>
            </c:dLbl>
            <c:dLbl>
              <c:idx val="3"/>
              <c:layout>
                <c:manualLayout>
                  <c:x val="1.9827754336065703E-3"/>
                  <c:y val="2.4980413597190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5A-47B3-BCCE-FC305F958D06}"/>
                </c:ext>
              </c:extLst>
            </c:dLbl>
            <c:dLbl>
              <c:idx val="4"/>
              <c:layout>
                <c:manualLayout>
                  <c:x val="-4.3284785480246345E-3"/>
                  <c:y val="-3.15940705431623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5A-47B3-BCCE-FC305F958D06}"/>
                </c:ext>
              </c:extLst>
            </c:dLbl>
            <c:dLbl>
              <c:idx val="5"/>
              <c:layout>
                <c:manualLayout>
                  <c:x val="-7.795523141298518E-17"/>
                  <c:y val="2.86327845382962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43-40FF-AA21-75902C43AD0B}"/>
                </c:ext>
              </c:extLst>
            </c:dLbl>
            <c:dLbl>
              <c:idx val="6"/>
              <c:layout>
                <c:manualLayout>
                  <c:x val="-7.795523141298518E-17"/>
                  <c:y val="-5.01073729420186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43-40FF-AA21-75902C43AD0B}"/>
                </c:ext>
              </c:extLst>
            </c:dLbl>
            <c:dLbl>
              <c:idx val="7"/>
              <c:layout>
                <c:manualLayout>
                  <c:x val="0"/>
                  <c:y val="-1.47329650092081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F5-4574-9C10-6ABF9EF92CB3}"/>
                </c:ext>
              </c:extLst>
            </c:dLbl>
            <c:dLbl>
              <c:idx val="8"/>
              <c:layout>
                <c:manualLayout>
                  <c:x val="0"/>
                  <c:y val="-1.07414140269745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F5-4574-9C10-6ABF9EF92CB3}"/>
                </c:ext>
              </c:extLst>
            </c:dLbl>
            <c:spPr>
              <a:noFill/>
              <a:ln w="25400" cap="flat" cmpd="sng" algn="ctr">
                <a:noFill/>
                <a:prstDash val="solid"/>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Hoja1!$C$2:$C$10</c:f>
              <c:numCache>
                <c:formatCode>_-* #,##0.0_-;\-* #,##0.0_-;_-* "-"??_-;_-@_-</c:formatCode>
                <c:ptCount val="9"/>
                <c:pt idx="0">
                  <c:v>5.5823531868540943</c:v>
                </c:pt>
                <c:pt idx="1">
                  <c:v>12.590915062171138</c:v>
                </c:pt>
                <c:pt idx="2">
                  <c:v>13.910671776318173</c:v>
                </c:pt>
                <c:pt idx="3">
                  <c:v>9.9774888909968986</c:v>
                </c:pt>
                <c:pt idx="4">
                  <c:v>11.150681700016607</c:v>
                </c:pt>
                <c:pt idx="5">
                  <c:v>12.295053509165065</c:v>
                </c:pt>
                <c:pt idx="6">
                  <c:v>12.755928401727633</c:v>
                </c:pt>
                <c:pt idx="7">
                  <c:v>13.430277251873246</c:v>
                </c:pt>
                <c:pt idx="8">
                  <c:v>14.279397568644491</c:v>
                </c:pt>
              </c:numCache>
            </c:numRef>
          </c:val>
          <c:extLst>
            <c:ext xmlns:c16="http://schemas.microsoft.com/office/drawing/2014/chart" uri="{C3380CC4-5D6E-409C-BE32-E72D297353CC}">
              <c16:uniqueId val="{00000000-D15A-47B3-BCCE-FC305F958D06}"/>
            </c:ext>
          </c:extLst>
        </c:ser>
        <c:dLbls>
          <c:dLblPos val="ctr"/>
          <c:showLegendKey val="0"/>
          <c:showVal val="1"/>
          <c:showCatName val="0"/>
          <c:showSerName val="0"/>
          <c:showPercent val="0"/>
          <c:showBubbleSize val="0"/>
        </c:dLbls>
        <c:gapWidth val="73"/>
        <c:axId val="1509281743"/>
        <c:axId val="344873055"/>
      </c:barChart>
      <c:lineChart>
        <c:grouping val="standard"/>
        <c:varyColors val="0"/>
        <c:ser>
          <c:idx val="2"/>
          <c:order val="0"/>
          <c:tx>
            <c:strRef>
              <c:f>Hoja1!$B$1</c:f>
              <c:strCache>
                <c:ptCount val="1"/>
                <c:pt idx="0">
                  <c:v>2023*</c:v>
                </c:pt>
              </c:strCache>
            </c:strRef>
          </c:tx>
          <c:spPr>
            <a:ln w="31750" cap="rnd" cmpd="sng" algn="ctr">
              <a:solidFill>
                <a:srgbClr val="9BBB59"/>
              </a:solidFill>
              <a:round/>
              <a:tailEnd type="triangle"/>
            </a:ln>
            <a:effectLst>
              <a:outerShdw blurRad="50800" dist="38100" dir="18900000" algn="bl" rotWithShape="0">
                <a:prstClr val="black">
                  <a:alpha val="40000"/>
                </a:prstClr>
              </a:outerShdw>
            </a:effectLst>
          </c:spPr>
          <c:marker>
            <c:symbol val="diamond"/>
            <c:size val="7"/>
            <c:spPr>
              <a:solidFill>
                <a:srgbClr val="C0504D"/>
              </a:solidFill>
              <a:ln w="9525" cap="flat" cmpd="sng" algn="ctr">
                <a:solidFill>
                  <a:srgbClr val="9BBB59">
                    <a:lumMod val="50000"/>
                  </a:srgbClr>
                </a:solidFill>
                <a:round/>
              </a:ln>
              <a:effectLst>
                <a:outerShdw blurRad="50800" dist="38100" dir="18900000" algn="bl" rotWithShape="0">
                  <a:prstClr val="black">
                    <a:alpha val="40000"/>
                  </a:prstClr>
                </a:outerShdw>
              </a:effectLst>
            </c:spPr>
          </c:marker>
          <c:dPt>
            <c:idx val="8"/>
            <c:marker>
              <c:symbol val="diamond"/>
              <c:size val="7"/>
              <c:spPr>
                <a:solidFill>
                  <a:srgbClr val="C0504D"/>
                </a:solidFill>
                <a:ln w="9525" cap="flat" cmpd="sng" algn="ctr">
                  <a:solidFill>
                    <a:srgbClr val="9BBB59">
                      <a:lumMod val="50000"/>
                    </a:srgbClr>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1-D15A-47B3-BCCE-FC305F958D06}"/>
              </c:ext>
            </c:extLst>
          </c:dPt>
          <c:dPt>
            <c:idx val="11"/>
            <c:marker>
              <c:symbol val="diamond"/>
              <c:size val="7"/>
              <c:spPr>
                <a:solidFill>
                  <a:srgbClr val="C0504D"/>
                </a:solidFill>
                <a:ln w="9525" cap="flat" cmpd="sng" algn="ctr">
                  <a:solidFill>
                    <a:srgbClr val="9BBB59">
                      <a:lumMod val="50000"/>
                    </a:srgbClr>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2-D15A-47B3-BCCE-FC305F958D06}"/>
              </c:ext>
            </c:extLst>
          </c:dPt>
          <c:dLbls>
            <c:dLbl>
              <c:idx val="6"/>
              <c:layout>
                <c:manualLayout>
                  <c:x val="-4.3645835861885314E-2"/>
                  <c:y val="-0.1593403186806373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43-40FF-AA21-75902C43AD0B}"/>
                </c:ext>
              </c:extLst>
            </c:dLbl>
            <c:dLbl>
              <c:idx val="7"/>
              <c:layout>
                <c:manualLayout>
                  <c:x val="-4.364583586188555E-2"/>
                  <c:y val="-0.1566102579718971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F5-4574-9C10-6ABF9EF92CB3}"/>
                </c:ext>
              </c:extLst>
            </c:dLbl>
            <c:dLbl>
              <c:idx val="8"/>
              <c:layout>
                <c:manualLayout>
                  <c:x val="-3.3430290226159273E-2"/>
                  <c:y val="8.7926852505111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5A-47B3-BCCE-FC305F958D06}"/>
                </c:ext>
              </c:extLst>
            </c:dLbl>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clip" horzOverflow="clip" vert="horz" wrap="square" lIns="36576" tIns="18288" rIns="36576" bIns="18288"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0"/>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#,##0.0_-;\-* #,##0.0_-;_-* "-"??_-;_-@_-</c:formatCode>
                <c:ptCount val="9"/>
                <c:pt idx="0">
                  <c:v>9.7481953442341229</c:v>
                </c:pt>
                <c:pt idx="1">
                  <c:v>16.24425631569888</c:v>
                </c:pt>
                <c:pt idx="2">
                  <c:v>19.192634816870612</c:v>
                </c:pt>
                <c:pt idx="3">
                  <c:v>19.734819214261922</c:v>
                </c:pt>
                <c:pt idx="4">
                  <c:v>18.135132121700725</c:v>
                </c:pt>
                <c:pt idx="5">
                  <c:v>16.905877982570928</c:v>
                </c:pt>
                <c:pt idx="6">
                  <c:v>15.302469711274625</c:v>
                </c:pt>
                <c:pt idx="7">
                  <c:v>14.889381215391673</c:v>
                </c:pt>
                <c:pt idx="8">
                  <c:v>13.164316027468947</c:v>
                </c:pt>
              </c:numCache>
            </c:numRef>
          </c:val>
          <c:smooth val="1"/>
          <c:extLst>
            <c:ext xmlns:c16="http://schemas.microsoft.com/office/drawing/2014/chart" uri="{C3380CC4-5D6E-409C-BE32-E72D297353CC}">
              <c16:uniqueId val="{00000003-D15A-47B3-BCCE-FC305F958D06}"/>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1"/>
        <c:axPos val="l"/>
        <c:numFmt formatCode="#,##0_ ;[Red]\-#,##0\ " sourceLinked="0"/>
        <c:majorTickMark val="out"/>
        <c:minorTickMark val="none"/>
        <c:tickLblPos val="nextTo"/>
        <c:crossAx val="1509281743"/>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74805876243069447"/>
          <c:y val="0.87692041741535554"/>
          <c:w val="0.24923948135960339"/>
          <c:h val="9.040087937725732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baseline="0">
                <a:effectLst/>
              </a:rPr>
              <a:t>Gasto Total </a:t>
            </a:r>
          </a:p>
          <a:p>
            <a:pPr>
              <a:defRPr>
                <a:solidFill>
                  <a:sysClr val="windowText" lastClr="000000"/>
                </a:solidFill>
              </a:defRPr>
            </a:pPr>
            <a:r>
              <a:rPr lang="en-US" sz="1100" b="1" i="0" baseline="0">
                <a:effectLst/>
              </a:rPr>
              <a:t>Variación interanual acumulada a septiembre 2023*</a:t>
            </a:r>
            <a:endParaRPr lang="es-GT" sz="1100">
              <a:effectLst/>
            </a:endParaRPr>
          </a:p>
          <a:p>
            <a:pPr>
              <a:defRPr>
                <a:solidFill>
                  <a:sysClr val="windowText" lastClr="000000"/>
                </a:solidFill>
              </a:defRPr>
            </a:pPr>
            <a:r>
              <a:rPr lang="en-US" sz="1000" b="0" i="0" baseline="0">
                <a:effectLst/>
              </a:rPr>
              <a:t>En millones de Quetzales</a:t>
            </a:r>
            <a:endParaRPr lang="es-GT" sz="1000">
              <a:effectLst/>
            </a:endParaRPr>
          </a:p>
        </c:rich>
      </c:tx>
      <c:layout>
        <c:manualLayout>
          <c:xMode val="edge"/>
          <c:yMode val="edge"/>
          <c:x val="0.22680365959280216"/>
          <c:y val="9.433962264150943E-3"/>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
          <c:y val="0.22652893955353312"/>
          <c:w val="1"/>
          <c:h val="0.56730806147641555"/>
        </c:manualLayout>
      </c:layout>
      <c:barChart>
        <c:barDir val="col"/>
        <c:grouping val="clustered"/>
        <c:varyColors val="0"/>
        <c:ser>
          <c:idx val="0"/>
          <c:order val="0"/>
          <c:tx>
            <c:strRef>
              <c:f>Hoja1!$B$1</c:f>
              <c:strCache>
                <c:ptCount val="1"/>
                <c:pt idx="0">
                  <c:v>2023*</c:v>
                </c:pt>
              </c:strCache>
            </c:strRef>
          </c:tx>
          <c:spPr>
            <a:solidFill>
              <a:srgbClr val="77933C"/>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invertIfNegative val="1"/>
          <c:dPt>
            <c:idx val="0"/>
            <c:invertIfNegative val="0"/>
            <c:bubble3D val="0"/>
            <c:spPr>
              <a:solidFill>
                <a:srgbClr val="4BACC6"/>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extLst>
              <c:ext xmlns:c16="http://schemas.microsoft.com/office/drawing/2014/chart" uri="{C3380CC4-5D6E-409C-BE32-E72D297353CC}">
                <c16:uniqueId val="{00000001-B3B0-453A-8B27-1D11CE3EF811}"/>
              </c:ext>
            </c:extLst>
          </c:dPt>
          <c:dLbls>
            <c:dLbl>
              <c:idx val="0"/>
              <c:spPr>
                <a:noFill/>
                <a:ln>
                  <a:noFill/>
                </a:ln>
                <a:effectLst/>
              </c:spPr>
              <c:txPr>
                <a:bodyPr rot="0" spcFirstLastPara="1" vertOverflow="ellipsis" vert="horz" wrap="square" anchor="ctr" anchorCtr="1"/>
                <a:lstStyle/>
                <a:p>
                  <a:pPr>
                    <a:defRPr sz="800" b="0"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1-B3B0-453A-8B27-1D11CE3EF811}"/>
                </c:ext>
              </c:extLst>
            </c:dLbl>
            <c:dLbl>
              <c:idx val="7"/>
              <c:layout>
                <c:manualLayout>
                  <c:x val="0"/>
                  <c:y val="1.2405705554215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B0-453A-8B27-1D11CE3EF811}"/>
                </c:ext>
              </c:extLst>
            </c:dLbl>
            <c:spPr>
              <a:noFill/>
              <a:ln>
                <a:noFill/>
              </a:ln>
              <a:effectLst/>
            </c:spPr>
            <c:txPr>
              <a:bodyPr rot="0" spcFirstLastPara="1" vertOverflow="ellipsis" vert="horz" wrap="square" anchor="ctr" anchorCtr="1"/>
              <a:lstStyle/>
              <a:p>
                <a:pPr>
                  <a:defRPr sz="800" b="0"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Gasto total</c:v>
                </c:pt>
                <c:pt idx="1">
                  <c:v>Remuneración a los empleados </c:v>
                </c:pt>
                <c:pt idx="2">
                  <c:v>Uso de bienes y servicios  </c:v>
                </c:pt>
                <c:pt idx="3">
                  <c:v>Prestaciones sociales </c:v>
                </c:pt>
                <c:pt idx="4">
                  <c:v>Otros gastos </c:v>
                </c:pt>
                <c:pt idx="5">
                  <c:v>Intereses </c:v>
                </c:pt>
                <c:pt idx="6">
                  <c:v>Donaciones </c:v>
                </c:pt>
                <c:pt idx="7">
                  <c:v>Subsidios </c:v>
                </c:pt>
              </c:strCache>
            </c:strRef>
          </c:cat>
          <c:val>
            <c:numRef>
              <c:f>Hoja1!$B$2:$B$9</c:f>
              <c:numCache>
                <c:formatCode>#,##0.0_ ;[Red]\-#,##0.0\ </c:formatCode>
                <c:ptCount val="8"/>
                <c:pt idx="0">
                  <c:v>10195.933608790001</c:v>
                </c:pt>
                <c:pt idx="1">
                  <c:v>4369.0984129100034</c:v>
                </c:pt>
                <c:pt idx="2">
                  <c:v>4294.8876891799973</c:v>
                </c:pt>
                <c:pt idx="3">
                  <c:v>1623.5664622700024</c:v>
                </c:pt>
                <c:pt idx="4">
                  <c:v>1232.3911097199989</c:v>
                </c:pt>
                <c:pt idx="5">
                  <c:v>934.70256051999968</c:v>
                </c:pt>
                <c:pt idx="6">
                  <c:v>-88.566141270000173</c:v>
                </c:pt>
                <c:pt idx="7">
                  <c:v>-2170.1464845399996</c:v>
                </c:pt>
              </c:numCache>
            </c:numRef>
          </c:val>
          <c:extLst>
            <c:ext xmlns:c14="http://schemas.microsoft.com/office/drawing/2007/8/2/chart" uri="{6F2FDCE9-48DA-4B69-8628-5D25D57E5C99}">
              <c14:invertSolidFillFmt>
                <c14:spPr xmlns:c14="http://schemas.microsoft.com/office/drawing/2007/8/2/chart">
                  <a:solidFill>
                    <a:srgbClr val="FF0000"/>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14:spPr>
              </c14:invertSolidFillFmt>
            </c:ext>
            <c:ext xmlns:c16="http://schemas.microsoft.com/office/drawing/2014/chart" uri="{C3380CC4-5D6E-409C-BE32-E72D297353CC}">
              <c16:uniqueId val="{00000003-B3B0-453A-8B27-1D11CE3EF811}"/>
            </c:ext>
          </c:extLst>
        </c:ser>
        <c:dLbls>
          <c:showLegendKey val="0"/>
          <c:showVal val="0"/>
          <c:showCatName val="0"/>
          <c:showSerName val="0"/>
          <c:showPercent val="0"/>
          <c:showBubbleSize val="0"/>
        </c:dLbls>
        <c:gapWidth val="100"/>
        <c:axId val="596122768"/>
        <c:axId val="317412256"/>
      </c:barChart>
      <c:catAx>
        <c:axId val="596122768"/>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17412256"/>
        <c:crosses val="autoZero"/>
        <c:auto val="0"/>
        <c:lblAlgn val="ctr"/>
        <c:lblOffset val="100"/>
        <c:noMultiLvlLbl val="0"/>
      </c:catAx>
      <c:valAx>
        <c:axId val="317412256"/>
        <c:scaling>
          <c:orientation val="minMax"/>
        </c:scaling>
        <c:delete val="1"/>
        <c:axPos val="l"/>
        <c:numFmt formatCode="#,##0.0_ ;[Red]\-#,##0.0\ " sourceLinked="1"/>
        <c:majorTickMark val="none"/>
        <c:minorTickMark val="none"/>
        <c:tickLblPos val="nextTo"/>
        <c:crossAx val="596122768"/>
        <c:crosses val="autoZero"/>
        <c:crossBetween val="between"/>
      </c:valAx>
      <c:spPr>
        <a:gradFill>
          <a:gsLst>
            <a:gs pos="0">
              <a:schemeClr val="accent1">
                <a:lumMod val="5000"/>
                <a:lumOff val="95000"/>
              </a:schemeClr>
            </a:gs>
            <a:gs pos="56000">
              <a:schemeClr val="bg1">
                <a:lumMod val="95000"/>
              </a:schemeClr>
            </a:gs>
            <a:gs pos="100000">
              <a:schemeClr val="bg1"/>
            </a:gs>
          </a:gsLst>
          <a:lin ang="5400000" scaled="1"/>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1" i="0" baseline="0">
                <a:solidFill>
                  <a:sysClr val="windowText" lastClr="000000"/>
                </a:solidFill>
                <a:effectLst/>
              </a:rPr>
              <a:t>Inversión bruta en activos no financieros</a:t>
            </a:r>
            <a:endParaRPr lang="es-GT" sz="1200">
              <a:solidFill>
                <a:sysClr val="windowText" lastClr="000000"/>
              </a:solidFill>
              <a:effectLst/>
            </a:endParaRPr>
          </a:p>
          <a:p>
            <a:pPr>
              <a:defRPr/>
            </a:pPr>
            <a:r>
              <a:rPr lang="en-US" sz="1050" b="1" i="0" baseline="0">
                <a:solidFill>
                  <a:sysClr val="windowText" lastClr="000000"/>
                </a:solidFill>
                <a:effectLst/>
              </a:rPr>
              <a:t>Cifra acumulada a septiembre de cada año</a:t>
            </a:r>
            <a:endParaRPr lang="es-GT" sz="1050">
              <a:solidFill>
                <a:sysClr val="windowText" lastClr="000000"/>
              </a:solidFill>
              <a:effectLst/>
            </a:endParaRPr>
          </a:p>
          <a:p>
            <a:pPr>
              <a:defRPr/>
            </a:pPr>
            <a:r>
              <a:rPr lang="en-US" sz="1000" b="0" i="0" baseline="0">
                <a:solidFill>
                  <a:sysClr val="windowText" lastClr="000000"/>
                </a:solidFill>
                <a:effectLst/>
              </a:rPr>
              <a:t>En millones de Quetzales</a:t>
            </a:r>
            <a:endParaRPr lang="es-GT" sz="1000">
              <a:solidFill>
                <a:sysClr val="windowText" lastClr="000000"/>
              </a:solidFill>
              <a:effectLst/>
            </a:endParaRPr>
          </a:p>
        </c:rich>
      </c:tx>
      <c:layout>
        <c:manualLayout>
          <c:xMode val="edge"/>
          <c:yMode val="edge"/>
          <c:x val="0.24667278760405448"/>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14344277836024105"/>
          <c:w val="1"/>
          <c:h val="0.73938632670916138"/>
        </c:manualLayout>
      </c:layout>
      <c:barChart>
        <c:barDir val="col"/>
        <c:grouping val="clustered"/>
        <c:varyColors val="0"/>
        <c:ser>
          <c:idx val="0"/>
          <c:order val="0"/>
          <c:tx>
            <c:strRef>
              <c:f>Hoja1!$A$2</c:f>
              <c:strCache>
                <c:ptCount val="1"/>
                <c:pt idx="0">
                  <c:v>Inversión neta/bruta en activos no financieros </c:v>
                </c:pt>
              </c:strCache>
            </c:strRef>
          </c:tx>
          <c:spPr>
            <a:solidFill>
              <a:srgbClr val="1F497D">
                <a:lumMod val="60000"/>
                <a:lumOff val="40000"/>
              </a:srgbClr>
            </a:solidFill>
            <a:ln>
              <a:solidFill>
                <a:sysClr val="windowText" lastClr="000000"/>
              </a:solid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Hoja1!$B$1:$F$1</c:f>
              <c:strCache>
                <c:ptCount val="5"/>
                <c:pt idx="0">
                  <c:v>2023*</c:v>
                </c:pt>
                <c:pt idx="1">
                  <c:v>2022</c:v>
                </c:pt>
                <c:pt idx="2">
                  <c:v>2021</c:v>
                </c:pt>
                <c:pt idx="3">
                  <c:v>2020</c:v>
                </c:pt>
                <c:pt idx="4">
                  <c:v>2019</c:v>
                </c:pt>
              </c:strCache>
            </c:strRef>
          </c:cat>
          <c:val>
            <c:numRef>
              <c:f>Hoja1!$B$2:$F$2</c:f>
              <c:numCache>
                <c:formatCode>#,##0.0_ ;[Red]\-#,##0.0\ </c:formatCode>
                <c:ptCount val="5"/>
                <c:pt idx="0">
                  <c:v>13107.729141669997</c:v>
                </c:pt>
                <c:pt idx="1">
                  <c:v>9808.182040239999</c:v>
                </c:pt>
                <c:pt idx="2">
                  <c:v>9245.2188307300003</c:v>
                </c:pt>
                <c:pt idx="3">
                  <c:v>6786.574319119999</c:v>
                </c:pt>
                <c:pt idx="4">
                  <c:v>9709.1745728099995</c:v>
                </c:pt>
              </c:numCache>
            </c:numRef>
          </c:val>
          <c:extLst>
            <c:ext xmlns:c16="http://schemas.microsoft.com/office/drawing/2014/chart" uri="{C3380CC4-5D6E-409C-BE32-E72D297353CC}">
              <c16:uniqueId val="{00000000-B1F7-4409-B6F7-70C99837FA20}"/>
            </c:ext>
          </c:extLst>
        </c:ser>
        <c:dLbls>
          <c:showLegendKey val="0"/>
          <c:showVal val="0"/>
          <c:showCatName val="0"/>
          <c:showSerName val="0"/>
          <c:showPercent val="0"/>
          <c:showBubbleSize val="0"/>
        </c:dLbls>
        <c:gapWidth val="267"/>
        <c:overlap val="-43"/>
        <c:axId val="1557017296"/>
        <c:axId val="470887616"/>
      </c:barChart>
      <c:catAx>
        <c:axId val="1557017296"/>
        <c:scaling>
          <c:orientation val="maxMin"/>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470887616"/>
        <c:crosses val="autoZero"/>
        <c:auto val="1"/>
        <c:lblAlgn val="ctr"/>
        <c:lblOffset val="100"/>
        <c:noMultiLvlLbl val="0"/>
      </c:catAx>
      <c:valAx>
        <c:axId val="470887616"/>
        <c:scaling>
          <c:orientation val="minMax"/>
        </c:scaling>
        <c:delete val="1"/>
        <c:axPos val="r"/>
        <c:numFmt formatCode="#,##0.0_ ;[Red]\-#,##0.0\ " sourceLinked="1"/>
        <c:majorTickMark val="none"/>
        <c:minorTickMark val="none"/>
        <c:tickLblPos val="nextTo"/>
        <c:crossAx val="15570172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a:t>Flujo</a:t>
            </a:r>
            <a:r>
              <a:rPr lang="es-GT" baseline="0"/>
              <a:t> mensual  </a:t>
            </a:r>
          </a:p>
        </c:rich>
      </c:tx>
      <c:layout>
        <c:manualLayout>
          <c:xMode val="edge"/>
          <c:yMode val="edge"/>
          <c:x val="0.381879044856059"/>
          <c:y val="3.6825518900942419E-3"/>
        </c:manualLayout>
      </c:layout>
      <c:overlay val="0"/>
      <c:spPr>
        <a:noFill/>
        <a:ln>
          <a:noFill/>
        </a:ln>
        <a:effectLst/>
      </c:spPr>
      <c:txPr>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11162374305930002"/>
          <c:w val="0.97198739067860607"/>
          <c:h val="0.59969417701511829"/>
        </c:manualLayout>
      </c:layout>
      <c:barChart>
        <c:barDir val="col"/>
        <c:grouping val="clustered"/>
        <c:varyColors val="0"/>
        <c:ser>
          <c:idx val="0"/>
          <c:order val="0"/>
          <c:tx>
            <c:strRef>
              <c:f>Hoja1!$A$2</c:f>
              <c:strCache>
                <c:ptCount val="1"/>
                <c:pt idx="0">
                  <c:v>Adquicición neta de activos financieros</c:v>
                </c:pt>
              </c:strCache>
            </c:strRef>
          </c:tx>
          <c:spPr>
            <a:solidFill>
              <a:srgbClr val="9BBB59"/>
            </a:solidFill>
            <a:ln>
              <a:solidFill>
                <a:schemeClr val="tx1"/>
              </a:solidFill>
            </a:ln>
            <a:effectLst>
              <a:outerShdw blurRad="50800" dist="38100" dir="18900000" algn="bl" rotWithShape="0">
                <a:prstClr val="black">
                  <a:alpha val="40000"/>
                </a:prstClr>
              </a:outerShdw>
            </a:effectLst>
          </c:spPr>
          <c:invertIfNegative val="1"/>
          <c:dPt>
            <c:idx val="3"/>
            <c:invertIfNegative val="1"/>
            <c:bubble3D val="0"/>
            <c:extLst>
              <c:ext xmlns:c16="http://schemas.microsoft.com/office/drawing/2014/chart" uri="{C3380CC4-5D6E-409C-BE32-E72D297353CC}">
                <c16:uniqueId val="{00000000-456B-4582-9E17-4F1DC6526F21}"/>
              </c:ext>
            </c:extLst>
          </c:dPt>
          <c:dPt>
            <c:idx val="6"/>
            <c:invertIfNegative val="1"/>
            <c:bubble3D val="0"/>
            <c:extLst>
              <c:ext xmlns:c16="http://schemas.microsoft.com/office/drawing/2014/chart" uri="{C3380CC4-5D6E-409C-BE32-E72D297353CC}">
                <c16:uniqueId val="{00000001-456B-4582-9E17-4F1DC6526F21}"/>
              </c:ext>
            </c:extLst>
          </c:dPt>
          <c:dPt>
            <c:idx val="9"/>
            <c:invertIfNegative val="1"/>
            <c:bubble3D val="0"/>
            <c:extLst>
              <c:ext xmlns:c16="http://schemas.microsoft.com/office/drawing/2014/chart" uri="{C3380CC4-5D6E-409C-BE32-E72D297353CC}">
                <c16:uniqueId val="{00000002-456B-4582-9E17-4F1DC6526F21}"/>
              </c:ext>
            </c:extLst>
          </c:dPt>
          <c:dPt>
            <c:idx val="12"/>
            <c:invertIfNegative val="0"/>
            <c:bubble3D val="0"/>
            <c:spPr>
              <a:solidFill>
                <a:srgbClr val="FF0000"/>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456B-4582-9E17-4F1DC6526F21}"/>
              </c:ext>
            </c:extLst>
          </c:dPt>
          <c:dLbls>
            <c:dLbl>
              <c:idx val="0"/>
              <c:layout>
                <c:manualLayout>
                  <c:x val="0"/>
                  <c:y val="1.526135062953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6B-4582-9E17-4F1DC6526F2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6B-4582-9E17-4F1DC6526F2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6B-4582-9E17-4F1DC6526F21}"/>
                </c:ext>
              </c:extLst>
            </c:dLbl>
            <c:dLbl>
              <c:idx val="3"/>
              <c:layout>
                <c:manualLayout>
                  <c:x val="0"/>
                  <c:y val="-2.7935674271766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6B-4582-9E17-4F1DC6526F2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6B-4582-9E17-4F1DC6526F21}"/>
                </c:ext>
              </c:extLst>
            </c:dLbl>
            <c:dLbl>
              <c:idx val="5"/>
              <c:layout>
                <c:manualLayout>
                  <c:x val="0"/>
                  <c:y val="2.5062666957535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6B-4582-9E17-4F1DC6526F2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6B-4582-9E17-4F1DC6526F21}"/>
                </c:ext>
              </c:extLst>
            </c:dLbl>
            <c:dLbl>
              <c:idx val="7"/>
              <c:layout>
                <c:manualLayout>
                  <c:x val="-7.0471349404377432E-17"/>
                  <c:y val="-1.3532903534675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56B-4582-9E17-4F1DC6526F21}"/>
                </c:ext>
              </c:extLst>
            </c:dLbl>
            <c:dLbl>
              <c:idx val="8"/>
              <c:layout>
                <c:manualLayout>
                  <c:x val="4.4632033911386681E-3"/>
                  <c:y val="2.0484409632952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56B-4582-9E17-4F1DC6526F21}"/>
                </c:ext>
              </c:extLst>
            </c:dLbl>
            <c:dLbl>
              <c:idx val="9"/>
              <c:layout>
                <c:manualLayout>
                  <c:x val="0"/>
                  <c:y val="1.41813668640257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6B-4582-9E17-4F1DC6526F21}"/>
                </c:ext>
              </c:extLst>
            </c:dLbl>
            <c:dLbl>
              <c:idx val="10"/>
              <c:layout>
                <c:manualLayout>
                  <c:x val="0"/>
                  <c:y val="1.5261350629530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56B-4582-9E17-4F1DC6526F21}"/>
                </c:ext>
              </c:extLst>
            </c:dLbl>
            <c:dLbl>
              <c:idx val="11"/>
              <c:layout>
                <c:manualLayout>
                  <c:x val="-7.68787238131847E-3"/>
                  <c:y val="1.196868807068121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56B-4582-9E17-4F1DC6526F21}"/>
                </c:ext>
              </c:extLst>
            </c:dLbl>
            <c:dLbl>
              <c:idx val="12"/>
              <c:layout>
                <c:manualLayout>
                  <c:x val="3.843936190659094E-3"/>
                  <c:y val="5.1718542489993524E-3"/>
                </c:manualLayout>
              </c:layout>
              <c:numFmt formatCode="#,##0.0_ ;[Red]\-#,##0.0\ " sourceLinked="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15:layout>
                    <c:manualLayout>
                      <c:w val="8.2644628099173556E-2"/>
                      <c:h val="5.7877813504823156E-2"/>
                    </c:manualLayout>
                  </c15:layout>
                </c:ext>
                <c:ext xmlns:c16="http://schemas.microsoft.com/office/drawing/2014/chart" uri="{C3380CC4-5D6E-409C-BE32-E72D297353CC}">
                  <c16:uniqueId val="{00000004-456B-4582-9E17-4F1DC6526F21}"/>
                </c:ext>
              </c:extLst>
            </c:dLbl>
            <c:numFmt formatCode="#,##0.0_ ;[Red]\-#,##0.0\ "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Hoja1!$B$1:$K$1</c:f>
              <c:strCache>
                <c:ptCount val="10"/>
                <c:pt idx="0">
                  <c:v>Enero</c:v>
                </c:pt>
                <c:pt idx="1">
                  <c:v>Febrero</c:v>
                </c:pt>
                <c:pt idx="2">
                  <c:v>Marzo</c:v>
                </c:pt>
                <c:pt idx="3">
                  <c:v>Abril</c:v>
                </c:pt>
                <c:pt idx="4">
                  <c:v>Mayo</c:v>
                </c:pt>
                <c:pt idx="5">
                  <c:v>Junio</c:v>
                </c:pt>
                <c:pt idx="6">
                  <c:v>Julio</c:v>
                </c:pt>
                <c:pt idx="7">
                  <c:v>Agosto</c:v>
                </c:pt>
                <c:pt idx="8">
                  <c:v>Septiembre</c:v>
                </c:pt>
                <c:pt idx="9">
                  <c:v>Total</c:v>
                </c:pt>
              </c:strCache>
            </c:strRef>
          </c:cat>
          <c:val>
            <c:numRef>
              <c:f>Hoja1!$B$2:$K$2</c:f>
              <c:numCache>
                <c:formatCode>#,##0.00</c:formatCode>
                <c:ptCount val="10"/>
                <c:pt idx="0">
                  <c:v>2369.1941812700002</c:v>
                </c:pt>
                <c:pt idx="1">
                  <c:v>-1820.8318410299999</c:v>
                </c:pt>
                <c:pt idx="2">
                  <c:v>-1598.5858270799999</c:v>
                </c:pt>
                <c:pt idx="3">
                  <c:v>-1137.97991871</c:v>
                </c:pt>
                <c:pt idx="4">
                  <c:v>-20.64784825000002</c:v>
                </c:pt>
                <c:pt idx="5">
                  <c:v>5861.5656250500006</c:v>
                </c:pt>
                <c:pt idx="6">
                  <c:v>-1628.1311860200003</c:v>
                </c:pt>
                <c:pt idx="7">
                  <c:v>231.56998908999998</c:v>
                </c:pt>
                <c:pt idx="8">
                  <c:v>-840.66842314999997</c:v>
                </c:pt>
                <c:pt idx="9">
                  <c:v>1415.4847511700004</c:v>
                </c:pt>
              </c:numCache>
            </c:numRef>
          </c:val>
          <c:extLst>
            <c:ext xmlns:c14="http://schemas.microsoft.com/office/drawing/2007/8/2/chart" uri="{6F2FDCE9-48DA-4B69-8628-5D25D57E5C99}">
              <c14:invertSolidFillFmt>
                <c14:spPr xmlns:c14="http://schemas.microsoft.com/office/drawing/2007/8/2/chart">
                  <a:solidFill>
                    <a:srgbClr val="E6B9B8"/>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E-456B-4582-9E17-4F1DC6526F21}"/>
            </c:ext>
          </c:extLst>
        </c:ser>
        <c:dLbls>
          <c:dLblPos val="inEnd"/>
          <c:showLegendKey val="0"/>
          <c:showVal val="1"/>
          <c:showCatName val="0"/>
          <c:showSerName val="0"/>
          <c:showPercent val="0"/>
          <c:showBubbleSize val="0"/>
        </c:dLbls>
        <c:gapWidth val="83"/>
        <c:overlap val="7"/>
        <c:axId val="152970912"/>
        <c:axId val="152969984"/>
      </c:barChart>
      <c:catAx>
        <c:axId val="1529709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69984"/>
        <c:crosses val="autoZero"/>
        <c:auto val="1"/>
        <c:lblAlgn val="ctr"/>
        <c:lblOffset val="100"/>
        <c:noMultiLvlLbl val="0"/>
      </c:catAx>
      <c:valAx>
        <c:axId val="152969984"/>
        <c:scaling>
          <c:orientation val="minMax"/>
        </c:scaling>
        <c:delete val="1"/>
        <c:axPos val="l"/>
        <c:numFmt formatCode="#,##0_ ;[Red]\-#,##0\ " sourceLinked="0"/>
        <c:majorTickMark val="out"/>
        <c:minorTickMark val="none"/>
        <c:tickLblPos val="nextTo"/>
        <c:crossAx val="152970912"/>
        <c:crosses val="autoZero"/>
        <c:crossBetween val="between"/>
      </c:valAx>
      <c:spPr>
        <a:pattFill prst="ltDnDiag">
          <a:fgClr>
            <a:srgbClr val="000000">
              <a:alpha val="0"/>
            </a:srgbClr>
          </a:fgClr>
          <a:bgClr>
            <a:srgbClr val="FFFFFF"/>
          </a:bgClr>
        </a:pattFill>
        <a:ln w="25400">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sz="1000"/>
              <a:t>Por</a:t>
            </a:r>
            <a:r>
              <a:rPr lang="es-GT" sz="1000" baseline="0"/>
              <a:t> tipo de instrumento</a:t>
            </a:r>
          </a:p>
          <a:p>
            <a:pPr>
              <a:defRPr b="1">
                <a:solidFill>
                  <a:schemeClr val="tx1"/>
                </a:solidFill>
              </a:defRPr>
            </a:pPr>
            <a:r>
              <a:rPr lang="es-GT" sz="1000" baseline="0"/>
              <a:t>Cifra acumulada</a:t>
            </a:r>
            <a:endParaRPr lang="es-GT" sz="1000"/>
          </a:p>
        </c:rich>
      </c:tx>
      <c:layout>
        <c:manualLayout>
          <c:xMode val="edge"/>
          <c:yMode val="edge"/>
          <c:x val="0.22472140909108393"/>
          <c:y val="0"/>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17037876730925874"/>
          <c:y val="0.16954856595738596"/>
          <c:w val="0.3905950764775093"/>
          <c:h val="0.72874754085866311"/>
        </c:manualLayout>
      </c:layout>
      <c:barChart>
        <c:barDir val="col"/>
        <c:grouping val="stacked"/>
        <c:varyColors val="0"/>
        <c:ser>
          <c:idx val="0"/>
          <c:order val="0"/>
          <c:tx>
            <c:strRef>
              <c:f>Hoja1!$A$2</c:f>
              <c:strCache>
                <c:ptCount val="1"/>
                <c:pt idx="0">
                  <c:v>Títulos de deuda </c:v>
                </c:pt>
              </c:strCache>
            </c:strRef>
          </c:tx>
          <c:spPr>
            <a:solidFill>
              <a:schemeClr val="accent1"/>
            </a:solidFill>
            <a:ln>
              <a:solidFill>
                <a:schemeClr val="tx1"/>
              </a:solidFill>
            </a:ln>
            <a:effectLst>
              <a:outerShdw blurRad="50800" dist="38100" dir="18900000" algn="bl" rotWithShape="0">
                <a:prstClr val="black">
                  <a:alpha val="40000"/>
                </a:prstClr>
              </a:outerShdw>
            </a:effectLst>
          </c:spPr>
          <c:invertIfNegative val="0"/>
          <c:dPt>
            <c:idx val="0"/>
            <c:invertIfNegative val="0"/>
            <c:bubble3D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AA1D-4E4A-8C47-11BD17E8B84E}"/>
              </c:ext>
            </c:extLst>
          </c:dPt>
          <c:dPt>
            <c:idx val="1"/>
            <c:invertIfNegative val="0"/>
            <c:bubble3D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AA1D-4E4A-8C47-11BD17E8B84E}"/>
              </c:ext>
            </c:extLst>
          </c:dPt>
          <c:dPt>
            <c:idx val="2"/>
            <c:invertIfNegative val="0"/>
            <c:bubble3D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AA1D-4E4A-8C47-11BD17E8B84E}"/>
              </c:ext>
            </c:extLst>
          </c:dPt>
          <c:dLbls>
            <c:dLbl>
              <c:idx val="0"/>
              <c:layout>
                <c:manualLayout>
                  <c:x val="0.36162888044166891"/>
                  <c:y val="-5.4459685482279079E-2"/>
                </c:manualLayout>
              </c:layout>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eparator>
</c:separator>
              <c:extLst>
                <c:ext xmlns:c15="http://schemas.microsoft.com/office/drawing/2012/chart" uri="{CE6537A1-D6FC-4f65-9D91-7224C49458BB}">
                  <c15:layout>
                    <c:manualLayout>
                      <c:w val="0.40745814100823596"/>
                      <c:h val="0.10701371103196064"/>
                    </c:manualLayout>
                  </c15:layout>
                </c:ext>
                <c:ext xmlns:c16="http://schemas.microsoft.com/office/drawing/2014/chart" uri="{C3380CC4-5D6E-409C-BE32-E72D297353CC}">
                  <c16:uniqueId val="{00000001-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Septiembre</c:v>
                </c:pt>
              </c:strCache>
            </c:strRef>
          </c:cat>
          <c:val>
            <c:numRef>
              <c:f>Hoja1!$B$2</c:f>
              <c:numCache>
                <c:formatCode>"Q"#,##0.0</c:formatCode>
                <c:ptCount val="1"/>
                <c:pt idx="0">
                  <c:v>4704.2225443500001</c:v>
                </c:pt>
              </c:numCache>
            </c:numRef>
          </c:val>
          <c:extLst>
            <c:ext xmlns:c16="http://schemas.microsoft.com/office/drawing/2014/chart" uri="{C3380CC4-5D6E-409C-BE32-E72D297353CC}">
              <c16:uniqueId val="{00000006-AA1D-4E4A-8C47-11BD17E8B84E}"/>
            </c:ext>
          </c:extLst>
        </c:ser>
        <c:ser>
          <c:idx val="1"/>
          <c:order val="1"/>
          <c:tx>
            <c:strRef>
              <c:f>Hoja1!$A$3</c:f>
              <c:strCache>
                <c:ptCount val="1"/>
                <c:pt idx="0">
                  <c:v>Préstamos </c:v>
                </c:pt>
              </c:strCache>
            </c:strRef>
          </c:tx>
          <c:spPr>
            <a:solidFill>
              <a:schemeClr val="accent2"/>
            </a:solidFill>
            <a:ln>
              <a:solidFill>
                <a:schemeClr val="tx1"/>
              </a:solidFill>
            </a:ln>
            <a:effectLst>
              <a:outerShdw blurRad="50800" dist="38100" dir="18900000" algn="bl" rotWithShape="0">
                <a:prstClr val="black">
                  <a:alpha val="40000"/>
                </a:prstClr>
              </a:outerShdw>
            </a:effectLst>
          </c:spPr>
          <c:invertIfNegative val="0"/>
          <c:dLbls>
            <c:dLbl>
              <c:idx val="0"/>
              <c:layout>
                <c:manualLayout>
                  <c:x val="0.36574146981627298"/>
                  <c:y val="4.8403159136121601E-2"/>
                </c:manualLayout>
              </c:layout>
              <c:tx>
                <c:rich>
                  <a:bodyPr rot="0" spcFirstLastPara="1" vertOverflow="ellipsis" vert="horz" wrap="square" lIns="38100" tIns="19050" rIns="38100" bIns="19050" anchor="ctr" anchorCtr="1">
                    <a:no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fld id="{01819CB3-8AC4-495D-B9C7-57AEBB714522}" type="SERIESNAME">
                      <a:rPr lang="en-US" sz="600">
                        <a:solidFill>
                          <a:srgbClr val="FF0000"/>
                        </a:solidFill>
                      </a:rPr>
                      <a:pPr>
                        <a:defRPr sz="600">
                          <a:solidFill>
                            <a:srgbClr val="FF0000"/>
                          </a:solidFill>
                        </a:defRPr>
                      </a:pPr>
                      <a:t>[NOMBRE DE LA SERIE]</a:t>
                    </a:fld>
                    <a:endParaRPr lang="en-US" sz="600" baseline="0">
                      <a:solidFill>
                        <a:srgbClr val="FF0000"/>
                      </a:solidFill>
                    </a:endParaRPr>
                  </a:p>
                  <a:p>
                    <a:pPr>
                      <a:defRPr sz="600">
                        <a:solidFill>
                          <a:srgbClr val="FF0000"/>
                        </a:solidFill>
                      </a:defRPr>
                    </a:pPr>
                    <a:fld id="{F0C5BD1F-CF89-4A0F-87AA-D79BB1DE09AF}" type="VALUE">
                      <a:rPr lang="en-US" sz="600">
                        <a:solidFill>
                          <a:srgbClr val="FF0000"/>
                        </a:solidFill>
                      </a:rPr>
                      <a:pPr>
                        <a:defRPr sz="600">
                          <a:solidFill>
                            <a:srgbClr val="FF0000"/>
                          </a:solidFill>
                        </a:defRPr>
                      </a:pPr>
                      <a:t>[VALOR]</a:t>
                    </a:fld>
                    <a:endParaRPr lang="es-GT"/>
                  </a:p>
                </c:rich>
              </c:tx>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eparator>
</c:separator>
              <c:extLst>
                <c:ext xmlns:c15="http://schemas.microsoft.com/office/drawing/2012/chart" uri="{CE6537A1-D6FC-4f65-9D91-7224C49458BB}">
                  <c15:layout>
                    <c:manualLayout>
                      <c:w val="0.40171101457145436"/>
                      <c:h val="0.11117729043324952"/>
                    </c:manualLayout>
                  </c15:layout>
                  <c15:dlblFieldTable/>
                  <c15:showDataLabelsRange val="0"/>
                </c:ext>
                <c:ext xmlns:c16="http://schemas.microsoft.com/office/drawing/2014/chart" uri="{C3380CC4-5D6E-409C-BE32-E72D297353CC}">
                  <c16:uniqueId val="{00000007-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Septiembre</c:v>
                </c:pt>
              </c:strCache>
            </c:strRef>
          </c:cat>
          <c:val>
            <c:numRef>
              <c:f>Hoja1!$B$3</c:f>
              <c:numCache>
                <c:formatCode>"Q"#,##0.0</c:formatCode>
                <c:ptCount val="1"/>
                <c:pt idx="0">
                  <c:v>-234.27029685999995</c:v>
                </c:pt>
              </c:numCache>
            </c:numRef>
          </c:val>
          <c:extLst>
            <c:ext xmlns:c16="http://schemas.microsoft.com/office/drawing/2014/chart" uri="{C3380CC4-5D6E-409C-BE32-E72D297353CC}">
              <c16:uniqueId val="{00000008-AA1D-4E4A-8C47-11BD17E8B84E}"/>
            </c:ext>
          </c:extLst>
        </c:ser>
        <c:ser>
          <c:idx val="2"/>
          <c:order val="2"/>
          <c:tx>
            <c:strRef>
              <c:f>Hoja1!$A$4</c:f>
              <c:strCache>
                <c:ptCount val="1"/>
                <c:pt idx="0">
                  <c:v>Otras cuentas por cobrar </c:v>
                </c:pt>
              </c:strCache>
            </c:strRef>
          </c:tx>
          <c:spPr>
            <a:solidFill>
              <a:schemeClr val="accent3"/>
            </a:solidFill>
            <a:ln>
              <a:solidFill>
                <a:schemeClr val="tx1"/>
              </a:solidFill>
            </a:ln>
            <a:effectLst>
              <a:outerShdw blurRad="50800" dist="38100" dir="18900000" algn="bl" rotWithShape="0">
                <a:prstClr val="black">
                  <a:alpha val="40000"/>
                </a:prstClr>
              </a:outerShdw>
            </a:effectLst>
          </c:spPr>
          <c:invertIfNegative val="0"/>
          <c:dLbls>
            <c:dLbl>
              <c:idx val="0"/>
              <c:layout>
                <c:manualLayout>
                  <c:x val="0.36176373427459496"/>
                  <c:y val="-4.6957162103251328E-2"/>
                </c:manualLayout>
              </c:layout>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eparator>
</c:separator>
              <c:extLst>
                <c:ext xmlns:c15="http://schemas.microsoft.com/office/drawing/2012/chart" uri="{CE6537A1-D6FC-4f65-9D91-7224C49458BB}">
                  <c15:layout>
                    <c:manualLayout>
                      <c:w val="0.36722825595076475"/>
                      <c:h val="0.15185629027838993"/>
                    </c:manualLayout>
                  </c15:layout>
                </c:ext>
                <c:ext xmlns:c16="http://schemas.microsoft.com/office/drawing/2014/chart" uri="{C3380CC4-5D6E-409C-BE32-E72D297353CC}">
                  <c16:uniqueId val="{00000009-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1"/>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Septiembre</c:v>
                </c:pt>
              </c:strCache>
            </c:strRef>
          </c:cat>
          <c:val>
            <c:numRef>
              <c:f>Hoja1!$B$4</c:f>
              <c:numCache>
                <c:formatCode>"Q"#,##0.0</c:formatCode>
                <c:ptCount val="1"/>
                <c:pt idx="0">
                  <c:v>-751.08409635999999</c:v>
                </c:pt>
              </c:numCache>
            </c:numRef>
          </c:val>
          <c:extLst>
            <c:ext xmlns:c16="http://schemas.microsoft.com/office/drawing/2014/chart" uri="{C3380CC4-5D6E-409C-BE32-E72D297353CC}">
              <c16:uniqueId val="{0000000A-AA1D-4E4A-8C47-11BD17E8B84E}"/>
            </c:ext>
          </c:extLst>
        </c:ser>
        <c:ser>
          <c:idx val="3"/>
          <c:order val="3"/>
          <c:tx>
            <c:strRef>
              <c:f>Hoja1!$A$5</c:f>
              <c:strCache>
                <c:ptCount val="1"/>
                <c:pt idx="0">
                  <c:v>Billetes, monedas y depósitos </c:v>
                </c:pt>
              </c:strCache>
            </c:strRef>
          </c:tx>
          <c:spPr>
            <a:solidFill>
              <a:schemeClr val="accent4"/>
            </a:solidFill>
            <a:ln>
              <a:solidFill>
                <a:schemeClr val="tx1"/>
              </a:solidFill>
            </a:ln>
            <a:effectLst>
              <a:outerShdw blurRad="50800" dist="38100" dir="18900000" algn="bl" rotWithShape="0">
                <a:prstClr val="black">
                  <a:alpha val="40000"/>
                </a:prstClr>
              </a:outerShdw>
            </a:effectLst>
          </c:spPr>
          <c:invertIfNegative val="0"/>
          <c:dLbls>
            <c:dLbl>
              <c:idx val="0"/>
              <c:layout>
                <c:manualLayout>
                  <c:x val="0.36835233957824237"/>
                  <c:y val="-7.3291151399318633E-2"/>
                </c:manualLayout>
              </c:layout>
              <c:numFmt formatCode="&quot;Q&quot;#,##0.0;[Red]\-&quot;Q&quot;#,##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eparator>
</c:separator>
              <c:extLst>
                <c:ext xmlns:c15="http://schemas.microsoft.com/office/drawing/2012/chart" uri="{CE6537A1-D6FC-4f65-9D91-7224C49458BB}">
                  <c15:layout>
                    <c:manualLayout>
                      <c:w val="0.39003529731197401"/>
                      <c:h val="0.17799314810390646"/>
                    </c:manualLayout>
                  </c15:layout>
                </c:ext>
                <c:ext xmlns:c16="http://schemas.microsoft.com/office/drawing/2014/chart" uri="{C3380CC4-5D6E-409C-BE32-E72D297353CC}">
                  <c16:uniqueId val="{0000000B-AA1D-4E4A-8C47-11BD17E8B84E}"/>
                </c:ext>
              </c:extLst>
            </c:dLbl>
            <c:numFmt formatCode="&quot;Q&quot;#,##0.0;[Red]\-&quot;Q&quot;#,##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ctr"/>
            <c:showLegendKey val="1"/>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c:f>
              <c:strCache>
                <c:ptCount val="1"/>
                <c:pt idx="0">
                  <c:v>Septiembre</c:v>
                </c:pt>
              </c:strCache>
            </c:strRef>
          </c:cat>
          <c:val>
            <c:numRef>
              <c:f>Hoja1!$B$5</c:f>
              <c:numCache>
                <c:formatCode>"Q"#,##0.0</c:formatCode>
                <c:ptCount val="1"/>
                <c:pt idx="0">
                  <c:v>-2303.3833999599992</c:v>
                </c:pt>
              </c:numCache>
            </c:numRef>
          </c:val>
          <c:extLst>
            <c:ext xmlns:c16="http://schemas.microsoft.com/office/drawing/2014/chart" uri="{C3380CC4-5D6E-409C-BE32-E72D297353CC}">
              <c16:uniqueId val="{0000000C-AA1D-4E4A-8C47-11BD17E8B84E}"/>
            </c:ext>
          </c:extLst>
        </c:ser>
        <c:dLbls>
          <c:showLegendKey val="0"/>
          <c:showVal val="0"/>
          <c:showCatName val="0"/>
          <c:showSerName val="0"/>
          <c:showPercent val="0"/>
          <c:showBubbleSize val="0"/>
        </c:dLbls>
        <c:gapWidth val="100"/>
        <c:overlap val="100"/>
        <c:axId val="1149944351"/>
        <c:axId val="1149953951"/>
      </c:barChart>
      <c:catAx>
        <c:axId val="1149944351"/>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149953951"/>
        <c:crosses val="autoZero"/>
        <c:auto val="1"/>
        <c:lblAlgn val="ctr"/>
        <c:lblOffset val="100"/>
        <c:noMultiLvlLbl val="0"/>
      </c:catAx>
      <c:valAx>
        <c:axId val="11499539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149944351"/>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9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b="0">
              <a:latin typeface="Times New Roman" panose="02020603050405020304" pitchFamily="18" charset="0"/>
              <a:cs typeface="Times New Roman" panose="02020603050405020304" pitchFamily="18" charset="0"/>
            </a:rPr>
            <a:t>En los </a:t>
          </a:r>
          <a:r>
            <a:rPr lang="en-US" sz="900" b="0" strike="noStrike">
              <a:latin typeface="Times New Roman" panose="02020603050405020304" pitchFamily="18" charset="0"/>
              <a:cs typeface="Times New Roman" panose="02020603050405020304" pitchFamily="18" charset="0"/>
            </a:rPr>
            <a:t>estándares</a:t>
          </a:r>
          <a:r>
            <a:rPr lang="en-US" sz="900" b="0">
              <a:latin typeface="Times New Roman" panose="02020603050405020304" pitchFamily="18" charset="0"/>
              <a:cs typeface="Times New Roman" panose="02020603050405020304" pitchFamily="18" charset="0"/>
            </a:rPr>
            <a:t> internacionales, un ingreso es </a:t>
          </a:r>
          <a:r>
            <a:rPr lang="en-US" sz="900" b="1">
              <a:latin typeface="Times New Roman" panose="02020603050405020304" pitchFamily="18" charset="0"/>
              <a:cs typeface="Times New Roman" panose="02020603050405020304" pitchFamily="18" charset="0"/>
            </a:rPr>
            <a:t>un aumento del patrimonio neto como resultado de una transacción </a:t>
          </a:r>
          <a:r>
            <a:rPr lang="en-US" sz="900" b="0">
              <a:latin typeface="Times New Roman" panose="02020603050405020304" pitchFamily="18" charset="0"/>
              <a:cs typeface="Times New Roman" panose="02020603050405020304" pitchFamily="18" charset="0"/>
            </a:rPr>
            <a:t>(MEFP 2014) </a:t>
          </a: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9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b="0">
              <a:latin typeface="Times New Roman" panose="02020603050405020304" pitchFamily="18" charset="0"/>
              <a:cs typeface="Times New Roman" panose="02020603050405020304" pitchFamily="18" charset="0"/>
            </a:rPr>
            <a:t>En los </a:t>
          </a:r>
          <a:r>
            <a:rPr lang="en-US" sz="900" b="0" strike="noStrike">
              <a:latin typeface="Times New Roman" panose="02020603050405020304" pitchFamily="18" charset="0"/>
              <a:cs typeface="Times New Roman" panose="02020603050405020304" pitchFamily="18" charset="0"/>
            </a:rPr>
            <a:t>estándares</a:t>
          </a:r>
          <a:r>
            <a:rPr lang="en-US" sz="900" b="0">
              <a:latin typeface="Times New Roman" panose="02020603050405020304" pitchFamily="18" charset="0"/>
              <a:cs typeface="Times New Roman" panose="02020603050405020304" pitchFamily="18" charset="0"/>
            </a:rPr>
            <a:t> internacionales, un gasto es </a:t>
          </a:r>
          <a:r>
            <a:rPr lang="en-US" sz="900" b="1">
              <a:latin typeface="Times New Roman" panose="02020603050405020304" pitchFamily="18" charset="0"/>
              <a:cs typeface="Times New Roman" panose="02020603050405020304" pitchFamily="18" charset="0"/>
            </a:rPr>
            <a:t>una disminución del patrimonio neto como resultado de una transacción </a:t>
          </a:r>
          <a:r>
            <a:rPr lang="en-US" sz="900" b="0">
              <a:latin typeface="Times New Roman" panose="02020603050405020304" pitchFamily="18" charset="0"/>
              <a:cs typeface="Times New Roman" panose="02020603050405020304" pitchFamily="18" charset="0"/>
            </a:rPr>
            <a:t>(MEFP 2014) </a:t>
          </a: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1000">
              <a:latin typeface="Times New Roman" panose="02020603050405020304" pitchFamily="18" charset="0"/>
              <a:cs typeface="Times New Roman" panose="02020603050405020304" pitchFamily="18" charset="0"/>
            </a:rPr>
            <a:t>Nota Informativa</a:t>
          </a: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b="0">
              <a:latin typeface="Times New Roman" panose="02020603050405020304" pitchFamily="18" charset="0"/>
              <a:cs typeface="Times New Roman" panose="02020603050405020304" pitchFamily="18" charset="0"/>
            </a:rPr>
            <a:t>Una transacción es un flujo económico que consiste en una interacción entre unidades institucionales </a:t>
          </a:r>
          <a:r>
            <a:rPr lang="en-US" sz="900" b="1">
              <a:latin typeface="Times New Roman" panose="02020603050405020304" pitchFamily="18" charset="0"/>
              <a:cs typeface="Times New Roman" panose="02020603050405020304" pitchFamily="18" charset="0"/>
            </a:rPr>
            <a:t>por mutuo acuerdo o mediante la aplicación de la ley.... (MEFP 2014)</a:t>
          </a:r>
          <a:r>
            <a:rPr lang="en-US" sz="900" b="0">
              <a:latin typeface="Times New Roman" panose="02020603050405020304" pitchFamily="18" charset="0"/>
              <a:cs typeface="Times New Roman" panose="02020603050405020304" pitchFamily="18" charset="0"/>
            </a:rPr>
            <a:t>. Las transacciones en activos y pasivos </a:t>
          </a:r>
          <a:r>
            <a:rPr lang="en-US" sz="900" b="1">
              <a:latin typeface="Times New Roman" panose="02020603050405020304" pitchFamily="18" charset="0"/>
              <a:cs typeface="Times New Roman" panose="02020603050405020304" pitchFamily="18" charset="0"/>
            </a:rPr>
            <a:t>no generan cambios en el patrimonio neto, </a:t>
          </a:r>
          <a:r>
            <a:rPr lang="en-US" sz="900" b="0">
              <a:latin typeface="Times New Roman" panose="02020603050405020304" pitchFamily="18" charset="0"/>
              <a:cs typeface="Times New Roman" panose="02020603050405020304" pitchFamily="18" charset="0"/>
            </a:rPr>
            <a:t>por ende no se considera como gasto o ingreso.</a:t>
          </a: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ScaleY="8861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68DFCB13-F778-41C4-88A6-8A8793BBCF6B}">
      <dgm:prSet phldrT="[Texto]" custT="1"/>
      <dgm:spPr>
        <a:ln w="9525">
          <a:solidFill>
            <a:schemeClr val="tx1"/>
          </a:solidFill>
        </a:ln>
      </dgm:spPr>
      <dgm:t>
        <a:bodyPr/>
        <a:lstStyle/>
        <a:p>
          <a:pPr algn="ctr"/>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a:latin typeface="Times New Roman" panose="02020603050405020304" pitchFamily="18" charset="0"/>
              <a:cs typeface="Times New Roman" panose="02020603050405020304" pitchFamily="18" charset="0"/>
            </a:rPr>
            <a:t>Las "Erogaciones" poseen cierta similitud conceptual al concepto de gasto en la metodología nacional, sin embargo, existen diferencias. </a:t>
          </a:r>
          <a:r>
            <a:rPr lang="en-US" sz="900" b="0">
              <a:latin typeface="Times New Roman" panose="02020603050405020304" pitchFamily="18" charset="0"/>
              <a:cs typeface="Times New Roman" panose="02020603050405020304" pitchFamily="18" charset="0"/>
            </a:rPr>
            <a:t>En </a:t>
          </a:r>
          <a:r>
            <a:rPr lang="en-US" sz="900" b="0">
              <a:solidFill>
                <a:sysClr val="windowText" lastClr="000000"/>
              </a:solidFill>
              <a:latin typeface="Times New Roman" panose="02020603050405020304" pitchFamily="18" charset="0"/>
              <a:cs typeface="Times New Roman" panose="02020603050405020304" pitchFamily="18" charset="0"/>
            </a:rPr>
            <a:t>los </a:t>
          </a:r>
          <a:r>
            <a:rPr lang="en-US" sz="900" b="0" strike="noStrike">
              <a:solidFill>
                <a:sysClr val="windowText" lastClr="000000"/>
              </a:solidFill>
              <a:latin typeface="Times New Roman" panose="02020603050405020304" pitchFamily="18" charset="0"/>
              <a:cs typeface="Times New Roman" panose="02020603050405020304" pitchFamily="18" charset="0"/>
            </a:rPr>
            <a:t>estándares</a:t>
          </a:r>
          <a:r>
            <a:rPr lang="en-US" sz="900" b="0">
              <a:solidFill>
                <a:sysClr val="windowText" lastClr="000000"/>
              </a:solidFill>
              <a:latin typeface="Times New Roman" panose="02020603050405020304" pitchFamily="18" charset="0"/>
              <a:cs typeface="Times New Roman" panose="02020603050405020304" pitchFamily="18" charset="0"/>
            </a:rPr>
            <a:t> internacionales,</a:t>
          </a:r>
          <a:r>
            <a:rPr lang="en-US" sz="900" b="1">
              <a:solidFill>
                <a:sysClr val="windowText" lastClr="000000"/>
              </a:solidFill>
              <a:latin typeface="Times New Roman" panose="02020603050405020304" pitchFamily="18" charset="0"/>
              <a:cs typeface="Times New Roman" panose="02020603050405020304" pitchFamily="18" charset="0"/>
            </a:rPr>
            <a:t> </a:t>
          </a:r>
          <a:r>
            <a:rPr lang="en-US" sz="900" b="0">
              <a:solidFill>
                <a:sysClr val="windowText" lastClr="000000"/>
              </a:solidFill>
              <a:latin typeface="Times New Roman" panose="02020603050405020304" pitchFamily="18" charset="0"/>
              <a:cs typeface="Times New Roman" panose="02020603050405020304" pitchFamily="18" charset="0"/>
            </a:rPr>
            <a:t>una erogación es </a:t>
          </a:r>
          <a:r>
            <a:rPr lang="en-US" sz="900" b="1">
              <a:solidFill>
                <a:sysClr val="windowText" lastClr="000000"/>
              </a:solidFill>
              <a:latin typeface="Times New Roman" panose="02020603050405020304" pitchFamily="18" charset="0"/>
              <a:cs typeface="Times New Roman" panose="02020603050405020304" pitchFamily="18" charset="0"/>
            </a:rPr>
            <a:t>la suma de los gastos y la inversión neta en activos </a:t>
          </a:r>
          <a:r>
            <a:rPr lang="en-US" sz="900" b="1">
              <a:latin typeface="Times New Roman" panose="02020603050405020304" pitchFamily="18" charset="0"/>
              <a:cs typeface="Times New Roman" panose="02020603050405020304" pitchFamily="18" charset="0"/>
            </a:rPr>
            <a:t>no financieros (MEFP 2014) </a:t>
          </a:r>
          <a:endParaRPr lang="en-US" sz="900" b="0">
            <a:latin typeface="Times New Roman" panose="02020603050405020304" pitchFamily="18" charset="0"/>
            <a:cs typeface="Times New Roman" panose="02020603050405020304" pitchFamily="18" charset="0"/>
          </a:endParaRP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75028"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623BD00C-6909-4D10-AD3B-64639427FA30}" type="presOf" srcId="{01C29C0B-230A-4A2F-B7AB-59E88CC6B709}" destId="{2536B8DD-1898-487D-8A92-C1351B85FE61}" srcOrd="0" destOrd="0" presId="urn:microsoft.com/office/officeart/2005/8/layout/vList5"/>
    <dgm:cxn modelId="{9E117C35-F0A3-4260-AE5F-3261DFB7C6EE}" srcId="{FF27429C-5B6E-468F-AF42-BE9281FF2A23}" destId="{68DFCB13-F778-41C4-88A6-8A8793BBCF6B}" srcOrd="0" destOrd="0" parTransId="{55E528F8-5473-447A-B4D6-39039A5FF545}" sibTransId="{18C21111-088F-4CAC-A53E-A2F91EF73064}"/>
    <dgm:cxn modelId="{83FF9646-5984-4553-953E-2FF158E2A563}" type="presOf" srcId="{68DFCB13-F778-41C4-88A6-8A8793BBCF6B}" destId="{07EE568B-6A23-417E-857A-D096AE89DF66}" srcOrd="0" destOrd="0" presId="urn:microsoft.com/office/officeart/2005/8/layout/vList5"/>
    <dgm:cxn modelId="{047B5950-955A-4E9C-890F-03A957F573F6}" srcId="{68DFCB13-F778-41C4-88A6-8A8793BBCF6B}" destId="{01C29C0B-230A-4A2F-B7AB-59E88CC6B709}" srcOrd="0" destOrd="0" parTransId="{BD00C7DA-D115-4DC8-96E9-9A8238F85148}" sibTransId="{65EB422C-F1D3-4985-A61D-252683A994E5}"/>
    <dgm:cxn modelId="{5F01F7DA-61FC-43A1-858F-551A9CA1F223}" type="presOf" srcId="{FF27429C-5B6E-468F-AF42-BE9281FF2A23}" destId="{51D8A26F-DCE5-401A-9566-DEFA18061B72}" srcOrd="0" destOrd="0"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F27429C-5B6E-468F-AF42-BE9281FF2A23}" type="doc">
      <dgm:prSet loTypeId="urn:microsoft.com/office/officeart/2005/8/layout/vList5" loCatId="list" qsTypeId="urn:microsoft.com/office/officeart/2005/8/quickstyle/simple2" qsCatId="simple" csTypeId="urn:microsoft.com/office/officeart/2005/8/colors/accent1_4" csCatId="accent1" phldr="1"/>
      <dgm:spPr/>
      <dgm:t>
        <a:bodyPr/>
        <a:lstStyle/>
        <a:p>
          <a:endParaRPr lang="en-US"/>
        </a:p>
      </dgm:t>
    </dgm:pt>
    <dgm:pt modelId="{01C29C0B-230A-4A2F-B7AB-59E88CC6B709}">
      <dgm:prSet phldrT="[Texto]" custT="1"/>
      <dgm:spPr>
        <a:ln w="12700">
          <a:solidFill>
            <a:schemeClr val="tx1">
              <a:lumMod val="65000"/>
              <a:lumOff val="35000"/>
              <a:alpha val="90000"/>
            </a:schemeClr>
          </a:solidFill>
        </a:ln>
        <a:effectLst>
          <a:outerShdw blurRad="50800" dist="38100" algn="l" rotWithShape="0">
            <a:prstClr val="black">
              <a:alpha val="40000"/>
            </a:prstClr>
          </a:outerShdw>
        </a:effectLst>
      </dgm:spPr>
      <dgm:t>
        <a:bodyPr/>
        <a:lstStyle/>
        <a:p>
          <a:pPr algn="just"/>
          <a:r>
            <a:rPr lang="en-US" sz="900">
              <a:latin typeface="Times New Roman" panose="02020603050405020304" pitchFamily="18" charset="0"/>
              <a:cs typeface="Times New Roman" panose="02020603050405020304" pitchFamily="18" charset="0"/>
            </a:rPr>
            <a:t>Existe una diferencia importante entre el concepto de resultado fiscal con metodología nacional y los </a:t>
          </a:r>
          <a:r>
            <a:rPr lang="en-US" sz="900">
              <a:solidFill>
                <a:sysClr val="windowText" lastClr="000000"/>
              </a:solidFill>
              <a:latin typeface="Times New Roman" panose="02020603050405020304" pitchFamily="18" charset="0"/>
              <a:cs typeface="Times New Roman" panose="02020603050405020304" pitchFamily="18" charset="0"/>
            </a:rPr>
            <a:t>estándares internacionales, lo cual </a:t>
          </a:r>
          <a:r>
            <a:rPr lang="en-US" sz="900">
              <a:latin typeface="Times New Roman" panose="02020603050405020304" pitchFamily="18" charset="0"/>
              <a:cs typeface="Times New Roman" panose="02020603050405020304" pitchFamily="18" charset="0"/>
            </a:rPr>
            <a:t>hace que éstos no sean perfectamente comparables. </a:t>
          </a:r>
          <a:r>
            <a:rPr lang="en-US" sz="900" b="1">
              <a:latin typeface="Times New Roman" panose="02020603050405020304" pitchFamily="18" charset="0"/>
              <a:cs typeface="Times New Roman" panose="02020603050405020304" pitchFamily="18" charset="0"/>
            </a:rPr>
            <a:t>En los </a:t>
          </a:r>
          <a:r>
            <a:rPr lang="en-US" sz="900" b="1" strike="noStrike">
              <a:solidFill>
                <a:sysClr val="windowText" lastClr="000000"/>
              </a:solidFill>
              <a:latin typeface="Times New Roman" panose="02020603050405020304" pitchFamily="18" charset="0"/>
              <a:cs typeface="Times New Roman" panose="02020603050405020304" pitchFamily="18" charset="0"/>
            </a:rPr>
            <a:t>estándares</a:t>
          </a:r>
          <a:r>
            <a:rPr lang="en-US" sz="900" b="1">
              <a:latin typeface="Times New Roman" panose="02020603050405020304" pitchFamily="18" charset="0"/>
              <a:cs typeface="Times New Roman" panose="02020603050405020304" pitchFamily="18" charset="0"/>
            </a:rPr>
            <a:t> internacionales existen los siguientes indicadores fiscales:</a:t>
          </a:r>
          <a:endParaRPr lang="en-US" sz="900" b="0">
            <a:latin typeface="Times New Roman" panose="02020603050405020304" pitchFamily="18" charset="0"/>
            <a:cs typeface="Times New Roman" panose="02020603050405020304" pitchFamily="18" charset="0"/>
          </a:endParaRPr>
        </a:p>
      </dgm:t>
    </dgm:pt>
    <dgm:pt modelId="{BD00C7DA-D115-4DC8-96E9-9A8238F85148}" type="par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BFA6ACE3-485E-404D-A58A-7823AB008BFD}">
      <dgm:prSet custT="1"/>
      <dgm:spPr/>
      <dgm:t>
        <a:bodyPr/>
        <a:lstStyle/>
        <a:p>
          <a:pPr algn="just"/>
          <a:endParaRPr lang="en-US" sz="900" b="1">
            <a:latin typeface="Times New Roman" panose="02020603050405020304" pitchFamily="18" charset="0"/>
            <a:cs typeface="Times New Roman" panose="02020603050405020304" pitchFamily="18" charset="0"/>
          </a:endParaRPr>
        </a:p>
      </dgm:t>
    </dgm:pt>
    <dgm:pt modelId="{0E966B43-D3D5-42FD-AE76-719ECE059C68}" type="parTrans" cxnId="{5E70EA89-E163-4B3E-926F-E5EFBF2F139F}">
      <dgm:prSet/>
      <dgm:spPr/>
      <dgm:t>
        <a:bodyPr/>
        <a:lstStyle/>
        <a:p>
          <a:endParaRPr lang="es-GT"/>
        </a:p>
      </dgm:t>
    </dgm:pt>
    <dgm:pt modelId="{5333C141-0D65-4830-8280-A0D9852BFBC6}" type="sibTrans" cxnId="{5E70EA89-E163-4B3E-926F-E5EFBF2F139F}">
      <dgm:prSet/>
      <dgm:spPr/>
      <dgm:t>
        <a:bodyPr/>
        <a:lstStyle/>
        <a:p>
          <a:endParaRPr lang="es-GT"/>
        </a:p>
      </dgm:t>
    </dgm:pt>
    <dgm:pt modelId="{DDC0D7A1-C052-4A6F-92AE-1E351FF9A75B}">
      <dgm:prSet custT="1"/>
      <dgm:spPr/>
      <dgm:t>
        <a:bodyPr/>
        <a:lstStyle/>
        <a:p>
          <a:pPr algn="just"/>
          <a:r>
            <a:rPr lang="en-US" sz="900" b="1">
              <a:latin typeface="Times New Roman" panose="02020603050405020304" pitchFamily="18" charset="0"/>
              <a:cs typeface="Times New Roman" panose="02020603050405020304" pitchFamily="18" charset="0"/>
            </a:rPr>
            <a:t>1.) Resultado Operativo Neto (NOB) = </a:t>
          </a:r>
          <a:r>
            <a:rPr lang="en-US" sz="900" b="0">
              <a:latin typeface="Times New Roman" panose="02020603050405020304" pitchFamily="18" charset="0"/>
              <a:cs typeface="Times New Roman" panose="02020603050405020304" pitchFamily="18" charset="0"/>
            </a:rPr>
            <a:t>Ingresos - Gastos</a:t>
          </a:r>
        </a:p>
      </dgm:t>
    </dgm:pt>
    <dgm:pt modelId="{3493B001-C46C-4D6E-8C43-1F144DCF5867}" type="parTrans" cxnId="{F76FC0BB-E260-4052-8CD9-D167148DB746}">
      <dgm:prSet/>
      <dgm:spPr/>
      <dgm:t>
        <a:bodyPr/>
        <a:lstStyle/>
        <a:p>
          <a:endParaRPr lang="es-GT"/>
        </a:p>
      </dgm:t>
    </dgm:pt>
    <dgm:pt modelId="{C897CF63-1981-460B-8FBF-0A9B90548127}" type="sibTrans" cxnId="{F76FC0BB-E260-4052-8CD9-D167148DB746}">
      <dgm:prSet/>
      <dgm:spPr/>
      <dgm:t>
        <a:bodyPr/>
        <a:lstStyle/>
        <a:p>
          <a:endParaRPr lang="es-GT"/>
        </a:p>
      </dgm:t>
    </dgm:pt>
    <dgm:pt modelId="{4AAF067F-8991-4874-A53B-80AFD9DEAC70}">
      <dgm:prSet custT="1"/>
      <dgm:spPr/>
      <dgm:t>
        <a:bodyPr/>
        <a:lstStyle/>
        <a:p>
          <a:pPr algn="just"/>
          <a:r>
            <a:rPr lang="en-US" sz="900" b="1">
              <a:latin typeface="Times New Roman" panose="02020603050405020304" pitchFamily="18" charset="0"/>
              <a:cs typeface="Times New Roman" panose="02020603050405020304" pitchFamily="18" charset="0"/>
            </a:rPr>
            <a:t>2.) Resultado Operativo Bruto (GOB) = </a:t>
          </a:r>
          <a:r>
            <a:rPr lang="en-US" sz="900" b="0">
              <a:latin typeface="Times New Roman" panose="02020603050405020304" pitchFamily="18" charset="0"/>
              <a:cs typeface="Times New Roman" panose="02020603050405020304" pitchFamily="18" charset="0"/>
            </a:rPr>
            <a:t>Ingresos - Gastos + Consumo de capital fijo</a:t>
          </a:r>
        </a:p>
      </dgm:t>
    </dgm:pt>
    <dgm:pt modelId="{CD78D7DD-74D2-4467-8A80-C751B7FCBB6A}" type="parTrans" cxnId="{32531EC7-5E8D-42C3-BC8E-0485249B5C90}">
      <dgm:prSet/>
      <dgm:spPr/>
      <dgm:t>
        <a:bodyPr/>
        <a:lstStyle/>
        <a:p>
          <a:endParaRPr lang="es-GT"/>
        </a:p>
      </dgm:t>
    </dgm:pt>
    <dgm:pt modelId="{135C9C65-7566-42BF-BA19-EEB1D887E512}" type="sibTrans" cxnId="{32531EC7-5E8D-42C3-BC8E-0485249B5C90}">
      <dgm:prSet/>
      <dgm:spPr/>
      <dgm:t>
        <a:bodyPr/>
        <a:lstStyle/>
        <a:p>
          <a:endParaRPr lang="es-GT"/>
        </a:p>
      </dgm:t>
    </dgm:pt>
    <dgm:pt modelId="{84DBFA13-5332-4EB6-A74C-7D3F97044350}">
      <dgm:prSet custT="1"/>
      <dgm:spPr/>
      <dgm:t>
        <a:bodyPr/>
        <a:lstStyle/>
        <a:p>
          <a:pPr algn="just"/>
          <a:r>
            <a:rPr lang="en-US" sz="900" b="1">
              <a:latin typeface="Times New Roman" panose="02020603050405020304" pitchFamily="18" charset="0"/>
              <a:cs typeface="Times New Roman" panose="02020603050405020304" pitchFamily="18" charset="0"/>
            </a:rPr>
            <a:t>3.) P</a:t>
          </a:r>
          <a:r>
            <a:rPr lang="en-US" sz="900" b="1">
              <a:solidFill>
                <a:sysClr val="windowText" lastClr="000000"/>
              </a:solidFill>
              <a:latin typeface="Times New Roman" panose="02020603050405020304" pitchFamily="18" charset="0"/>
              <a:cs typeface="Times New Roman" panose="02020603050405020304" pitchFamily="18" charset="0"/>
            </a:rPr>
            <a:t>réstamo </a:t>
          </a:r>
          <a:r>
            <a:rPr lang="en-US" sz="900" b="1">
              <a:latin typeface="Times New Roman" panose="02020603050405020304" pitchFamily="18" charset="0"/>
              <a:cs typeface="Times New Roman" panose="02020603050405020304" pitchFamily="18" charset="0"/>
            </a:rPr>
            <a:t>o Endeudamiento Neto (NLB) = </a:t>
          </a:r>
          <a:r>
            <a:rPr lang="en-US" sz="900" b="0">
              <a:latin typeface="Times New Roman" panose="02020603050405020304" pitchFamily="18" charset="0"/>
              <a:cs typeface="Times New Roman" panose="02020603050405020304" pitchFamily="18" charset="0"/>
            </a:rPr>
            <a:t>NOB - Inversión Neta en Activos no financieros</a:t>
          </a:r>
        </a:p>
      </dgm:t>
    </dgm:pt>
    <dgm:pt modelId="{E38929A1-6B24-4A79-A47B-5F4CF8F76AA5}" type="parTrans" cxnId="{8705322A-40B7-44D7-BB58-88C27AE92746}">
      <dgm:prSet/>
      <dgm:spPr/>
      <dgm:t>
        <a:bodyPr/>
        <a:lstStyle/>
        <a:p>
          <a:endParaRPr lang="es-GT"/>
        </a:p>
      </dgm:t>
    </dgm:pt>
    <dgm:pt modelId="{6C0E31DC-DC6A-4951-B951-E7A962D0B6C1}" type="sibTrans" cxnId="{8705322A-40B7-44D7-BB58-88C27AE92746}">
      <dgm:prSet/>
      <dgm:spPr/>
      <dgm:t>
        <a:bodyPr/>
        <a:lstStyle/>
        <a:p>
          <a:endParaRPr lang="es-GT"/>
        </a:p>
      </dgm:t>
    </dgm:pt>
    <dgm:pt modelId="{BD4567F6-3394-4249-8246-15B8399EC30B}">
      <dgm:prSet custT="1"/>
      <dgm:spPr/>
      <dgm:t>
        <a:bodyPr/>
        <a:lstStyle/>
        <a:p>
          <a:pPr algn="just"/>
          <a:endParaRPr lang="en-US" sz="900" b="0">
            <a:latin typeface="Times New Roman" panose="02020603050405020304" pitchFamily="18" charset="0"/>
            <a:cs typeface="Times New Roman" panose="02020603050405020304" pitchFamily="18" charset="0"/>
          </a:endParaRPr>
        </a:p>
      </dgm:t>
    </dgm:pt>
    <dgm:pt modelId="{C130C412-1879-45FD-B656-8212E252AB7D}" type="parTrans" cxnId="{18A6B64C-E072-4A9A-8C44-B76E3024E7E2}">
      <dgm:prSet/>
      <dgm:spPr/>
      <dgm:t>
        <a:bodyPr/>
        <a:lstStyle/>
        <a:p>
          <a:endParaRPr lang="es-GT"/>
        </a:p>
      </dgm:t>
    </dgm:pt>
    <dgm:pt modelId="{1C668166-0EE6-4A44-A162-28CB6C675204}" type="sibTrans" cxnId="{18A6B64C-E072-4A9A-8C44-B76E3024E7E2}">
      <dgm:prSet/>
      <dgm:spPr/>
      <dgm:t>
        <a:bodyPr/>
        <a:lstStyle/>
        <a:p>
          <a:endParaRPr lang="es-GT"/>
        </a:p>
      </dgm:t>
    </dgm:pt>
    <dgm:pt modelId="{5E8C2B34-B2FE-4EF5-BFF7-CAF28A22E256}">
      <dgm:prSet custT="1"/>
      <dgm:spPr/>
      <dgm:t>
        <a:bodyPr/>
        <a:lstStyle/>
        <a:p>
          <a:pPr algn="just"/>
          <a:r>
            <a:rPr lang="en-US" sz="900" b="1">
              <a:latin typeface="Times New Roman" panose="02020603050405020304" pitchFamily="18" charset="0"/>
              <a:cs typeface="Times New Roman" panose="02020603050405020304" pitchFamily="18" charset="0"/>
            </a:rPr>
            <a:t>El NOB equivale a las variaciones en el patrimonio neto derivado a transacciones mientras que el NLB también equivale al financiamiento total (MEFP 2014)</a:t>
          </a:r>
        </a:p>
      </dgm:t>
    </dgm:pt>
    <dgm:pt modelId="{97075B03-CD2E-48F2-A87C-D2B6904D4F76}" type="parTrans" cxnId="{8B8499B9-6E26-4EA6-8B8A-B73FEFE233A8}">
      <dgm:prSet/>
      <dgm:spPr/>
      <dgm:t>
        <a:bodyPr/>
        <a:lstStyle/>
        <a:p>
          <a:endParaRPr lang="es-GT"/>
        </a:p>
      </dgm:t>
    </dgm:pt>
    <dgm:pt modelId="{F7B14CAA-31DB-45DF-892F-8A026856F662}" type="sibTrans" cxnId="{8B8499B9-6E26-4EA6-8B8A-B73FEFE233A8}">
      <dgm:prSet/>
      <dgm:spPr/>
      <dgm:t>
        <a:bodyPr/>
        <a:lstStyle/>
        <a:p>
          <a:endParaRPr lang="es-GT"/>
        </a:p>
      </dgm:t>
    </dgm:pt>
    <dgm:pt modelId="{68DFCB13-F778-41C4-88A6-8A8793BBCF6B}">
      <dgm:prSet phldrT="[Texto]" custT="1"/>
      <dgm:spPr>
        <a:ln w="9525">
          <a:solidFill>
            <a:schemeClr val="tx1"/>
          </a:solidFill>
        </a:ln>
      </dgm:spPr>
      <dgm:t>
        <a:bodyPr/>
        <a:lstStyle/>
        <a:p>
          <a:pPr algn="ctr"/>
          <a:r>
            <a:rPr lang="en-US" sz="1000">
              <a:latin typeface="Times New Roman" panose="02020603050405020304" pitchFamily="18" charset="0"/>
              <a:cs typeface="Times New Roman" panose="02020603050405020304" pitchFamily="18" charset="0"/>
            </a:rPr>
            <a:t>Nota Informativa</a:t>
          </a:r>
        </a:p>
      </dgm:t>
    </dgm:pt>
    <dgm:pt modelId="{18C21111-088F-4CAC-A53E-A2F91EF73064}" type="sib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5E528F8-5473-447A-B4D6-39039A5FF545}" type="parTrans" cxnId="{9E117C35-F0A3-4260-AE5F-3261DFB7C6EE}">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51D8A26F-DCE5-401A-9566-DEFA18061B72}" type="pres">
      <dgm:prSet presAssocID="{FF27429C-5B6E-468F-AF42-BE9281FF2A23}" presName="Name0" presStyleCnt="0">
        <dgm:presLayoutVars>
          <dgm:dir/>
          <dgm:animLvl val="lvl"/>
          <dgm:resizeHandles val="exact"/>
        </dgm:presLayoutVars>
      </dgm:prSet>
      <dgm:spPr/>
    </dgm:pt>
    <dgm:pt modelId="{0F4686C6-42DE-499E-82C4-A9B146C0932F}" type="pres">
      <dgm:prSet presAssocID="{68DFCB13-F778-41C4-88A6-8A8793BBCF6B}" presName="linNode" presStyleCnt="0"/>
      <dgm:spPr/>
    </dgm:pt>
    <dgm:pt modelId="{07EE568B-6A23-417E-857A-D096AE89DF66}" type="pres">
      <dgm:prSet presAssocID="{68DFCB13-F778-41C4-88A6-8A8793BBCF6B}" presName="parentText" presStyleLbl="node1" presStyleIdx="0" presStyleCnt="1" custScaleX="45500" custScaleY="93796" custLinFactNeighborX="-13821" custLinFactNeighborY="-49">
        <dgm:presLayoutVars>
          <dgm:chMax val="1"/>
          <dgm:bulletEnabled val="1"/>
        </dgm:presLayoutVars>
      </dgm:prSet>
      <dgm:spPr/>
    </dgm:pt>
    <dgm:pt modelId="{2536B8DD-1898-487D-8A92-C1351B85FE61}" type="pres">
      <dgm:prSet presAssocID="{68DFCB13-F778-41C4-88A6-8A8793BBCF6B}" presName="descendantText" presStyleLbl="alignAccFollowNode1" presStyleIdx="0" presStyleCnt="1" custScaleX="130176">
        <dgm:presLayoutVars>
          <dgm:bulletEnabled val="1"/>
        </dgm:presLayoutVars>
      </dgm:prSet>
      <dgm:spPr/>
    </dgm:pt>
  </dgm:ptLst>
  <dgm:cxnLst>
    <dgm:cxn modelId="{E6E5B201-E1DB-42A1-AB10-773A5BB362A7}" type="presOf" srcId="{BD4567F6-3394-4249-8246-15B8399EC30B}" destId="{2536B8DD-1898-487D-8A92-C1351B85FE61}" srcOrd="0" destOrd="5" presId="urn:microsoft.com/office/officeart/2005/8/layout/vList5"/>
    <dgm:cxn modelId="{623BD00C-6909-4D10-AD3B-64639427FA30}" type="presOf" srcId="{01C29C0B-230A-4A2F-B7AB-59E88CC6B709}" destId="{2536B8DD-1898-487D-8A92-C1351B85FE61}" srcOrd="0" destOrd="0" presId="urn:microsoft.com/office/officeart/2005/8/layout/vList5"/>
    <dgm:cxn modelId="{5709FB28-95DF-4AA6-BBF9-2469471F9973}" type="presOf" srcId="{DDC0D7A1-C052-4A6F-92AE-1E351FF9A75B}" destId="{2536B8DD-1898-487D-8A92-C1351B85FE61}" srcOrd="0" destOrd="2" presId="urn:microsoft.com/office/officeart/2005/8/layout/vList5"/>
    <dgm:cxn modelId="{8705322A-40B7-44D7-BB58-88C27AE92746}" srcId="{68DFCB13-F778-41C4-88A6-8A8793BBCF6B}" destId="{84DBFA13-5332-4EB6-A74C-7D3F97044350}" srcOrd="4" destOrd="0" parTransId="{E38929A1-6B24-4A79-A47B-5F4CF8F76AA5}" sibTransId="{6C0E31DC-DC6A-4951-B951-E7A962D0B6C1}"/>
    <dgm:cxn modelId="{9E117C35-F0A3-4260-AE5F-3261DFB7C6EE}" srcId="{FF27429C-5B6E-468F-AF42-BE9281FF2A23}" destId="{68DFCB13-F778-41C4-88A6-8A8793BBCF6B}" srcOrd="0" destOrd="0" parTransId="{55E528F8-5473-447A-B4D6-39039A5FF545}" sibTransId="{18C21111-088F-4CAC-A53E-A2F91EF73064}"/>
    <dgm:cxn modelId="{A85E3645-D510-4117-B42D-185A89001117}" type="presOf" srcId="{5E8C2B34-B2FE-4EF5-BFF7-CAF28A22E256}" destId="{2536B8DD-1898-487D-8A92-C1351B85FE61}" srcOrd="0" destOrd="6" presId="urn:microsoft.com/office/officeart/2005/8/layout/vList5"/>
    <dgm:cxn modelId="{83FF9646-5984-4553-953E-2FF158E2A563}" type="presOf" srcId="{68DFCB13-F778-41C4-88A6-8A8793BBCF6B}" destId="{07EE568B-6A23-417E-857A-D096AE89DF66}" srcOrd="0" destOrd="0" presId="urn:microsoft.com/office/officeart/2005/8/layout/vList5"/>
    <dgm:cxn modelId="{18A6B64C-E072-4A9A-8C44-B76E3024E7E2}" srcId="{68DFCB13-F778-41C4-88A6-8A8793BBCF6B}" destId="{BD4567F6-3394-4249-8246-15B8399EC30B}" srcOrd="5" destOrd="0" parTransId="{C130C412-1879-45FD-B656-8212E252AB7D}" sibTransId="{1C668166-0EE6-4A44-A162-28CB6C675204}"/>
    <dgm:cxn modelId="{047B5950-955A-4E9C-890F-03A957F573F6}" srcId="{68DFCB13-F778-41C4-88A6-8A8793BBCF6B}" destId="{01C29C0B-230A-4A2F-B7AB-59E88CC6B709}" srcOrd="0" destOrd="0" parTransId="{BD00C7DA-D115-4DC8-96E9-9A8238F85148}" sibTransId="{65EB422C-F1D3-4985-A61D-252683A994E5}"/>
    <dgm:cxn modelId="{5E70EA89-E163-4B3E-926F-E5EFBF2F139F}" srcId="{68DFCB13-F778-41C4-88A6-8A8793BBCF6B}" destId="{BFA6ACE3-485E-404D-A58A-7823AB008BFD}" srcOrd="1" destOrd="0" parTransId="{0E966B43-D3D5-42FD-AE76-719ECE059C68}" sibTransId="{5333C141-0D65-4830-8280-A0D9852BFBC6}"/>
    <dgm:cxn modelId="{8B8499B9-6E26-4EA6-8B8A-B73FEFE233A8}" srcId="{68DFCB13-F778-41C4-88A6-8A8793BBCF6B}" destId="{5E8C2B34-B2FE-4EF5-BFF7-CAF28A22E256}" srcOrd="6" destOrd="0" parTransId="{97075B03-CD2E-48F2-A87C-D2B6904D4F76}" sibTransId="{F7B14CAA-31DB-45DF-892F-8A026856F662}"/>
    <dgm:cxn modelId="{F76FC0BB-E260-4052-8CD9-D167148DB746}" srcId="{68DFCB13-F778-41C4-88A6-8A8793BBCF6B}" destId="{DDC0D7A1-C052-4A6F-92AE-1E351FF9A75B}" srcOrd="2" destOrd="0" parTransId="{3493B001-C46C-4D6E-8C43-1F144DCF5867}" sibTransId="{C897CF63-1981-460B-8FBF-0A9B90548127}"/>
    <dgm:cxn modelId="{22BFE8BC-69E5-41E2-ABA2-BA2BB9FF112F}" type="presOf" srcId="{84DBFA13-5332-4EB6-A74C-7D3F97044350}" destId="{2536B8DD-1898-487D-8A92-C1351B85FE61}" srcOrd="0" destOrd="4" presId="urn:microsoft.com/office/officeart/2005/8/layout/vList5"/>
    <dgm:cxn modelId="{32531EC7-5E8D-42C3-BC8E-0485249B5C90}" srcId="{68DFCB13-F778-41C4-88A6-8A8793BBCF6B}" destId="{4AAF067F-8991-4874-A53B-80AFD9DEAC70}" srcOrd="3" destOrd="0" parTransId="{CD78D7DD-74D2-4467-8A80-C751B7FCBB6A}" sibTransId="{135C9C65-7566-42BF-BA19-EEB1D887E512}"/>
    <dgm:cxn modelId="{6F9FEAD2-7AA1-42D1-9C1E-5B6822AA959A}" type="presOf" srcId="{BFA6ACE3-485E-404D-A58A-7823AB008BFD}" destId="{2536B8DD-1898-487D-8A92-C1351B85FE61}" srcOrd="0" destOrd="1" presId="urn:microsoft.com/office/officeart/2005/8/layout/vList5"/>
    <dgm:cxn modelId="{5F01F7DA-61FC-43A1-858F-551A9CA1F223}" type="presOf" srcId="{FF27429C-5B6E-468F-AF42-BE9281FF2A23}" destId="{51D8A26F-DCE5-401A-9566-DEFA18061B72}" srcOrd="0" destOrd="0" presId="urn:microsoft.com/office/officeart/2005/8/layout/vList5"/>
    <dgm:cxn modelId="{904AE9DD-3693-4922-8C23-127E608C7198}" type="presOf" srcId="{4AAF067F-8991-4874-A53B-80AFD9DEAC70}" destId="{2536B8DD-1898-487D-8A92-C1351B85FE61}" srcOrd="0" destOrd="3" presId="urn:microsoft.com/office/officeart/2005/8/layout/vList5"/>
    <dgm:cxn modelId="{BE291995-06EE-41D6-A8F6-1A2EB996F80B}" type="presParOf" srcId="{51D8A26F-DCE5-401A-9566-DEFA18061B72}" destId="{0F4686C6-42DE-499E-82C4-A9B146C0932F}" srcOrd="0" destOrd="0" presId="urn:microsoft.com/office/officeart/2005/8/layout/vList5"/>
    <dgm:cxn modelId="{A2AF2252-F07C-47AC-BA27-F13D35599048}" type="presParOf" srcId="{0F4686C6-42DE-499E-82C4-A9B146C0932F}" destId="{07EE568B-6A23-417E-857A-D096AE89DF66}" srcOrd="0" destOrd="0" presId="urn:microsoft.com/office/officeart/2005/8/layout/vList5"/>
    <dgm:cxn modelId="{2D6CD9B5-C48A-49BD-B455-76D38179A561}" type="presParOf" srcId="{0F4686C6-42DE-499E-82C4-A9B146C0932F}" destId="{2536B8DD-1898-487D-8A92-C1351B85FE61}" srcOrd="1" destOrd="0" presId="urn:microsoft.com/office/officeart/2005/8/layout/vList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524242" y="-733623"/>
          <a:ext cx="592257" cy="2208292"/>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0" kern="1200">
              <a:latin typeface="Times New Roman" panose="02020603050405020304" pitchFamily="18" charset="0"/>
              <a:cs typeface="Times New Roman" panose="02020603050405020304" pitchFamily="18" charset="0"/>
            </a:rPr>
            <a:t>En los </a:t>
          </a:r>
          <a:r>
            <a:rPr lang="en-US" sz="900" b="0" strike="noStrike" kern="1200">
              <a:latin typeface="Times New Roman" panose="02020603050405020304" pitchFamily="18" charset="0"/>
              <a:cs typeface="Times New Roman" panose="02020603050405020304" pitchFamily="18" charset="0"/>
            </a:rPr>
            <a:t>estándares</a:t>
          </a:r>
          <a:r>
            <a:rPr lang="en-US" sz="900" b="0" kern="1200">
              <a:latin typeface="Times New Roman" panose="02020603050405020304" pitchFamily="18" charset="0"/>
              <a:cs typeface="Times New Roman" panose="02020603050405020304" pitchFamily="18" charset="0"/>
            </a:rPr>
            <a:t> internacionales, un ingreso es </a:t>
          </a:r>
          <a:r>
            <a:rPr lang="en-US" sz="900" b="1" kern="1200">
              <a:latin typeface="Times New Roman" panose="02020603050405020304" pitchFamily="18" charset="0"/>
              <a:cs typeface="Times New Roman" panose="02020603050405020304" pitchFamily="18" charset="0"/>
            </a:rPr>
            <a:t>un aumento del patrimonio neto como resultado de una transacción </a:t>
          </a:r>
          <a:r>
            <a:rPr lang="en-US" sz="900" b="0" kern="1200">
              <a:latin typeface="Times New Roman" panose="02020603050405020304" pitchFamily="18" charset="0"/>
              <a:cs typeface="Times New Roman" panose="02020603050405020304" pitchFamily="18" charset="0"/>
            </a:rPr>
            <a:t>(MEFP 2014) </a:t>
          </a:r>
        </a:p>
      </dsp:txBody>
      <dsp:txXfrm rot="-5400000">
        <a:off x="716225" y="103306"/>
        <a:ext cx="2179380" cy="534433"/>
      </dsp:txXfrm>
    </dsp:sp>
    <dsp:sp modelId="{07EE568B-6A23-417E-857A-D096AE89DF66}">
      <dsp:nvSpPr>
        <dsp:cNvPr id="0" name=""/>
        <dsp:cNvSpPr/>
      </dsp:nvSpPr>
      <dsp:spPr>
        <a:xfrm>
          <a:off x="0" y="0"/>
          <a:ext cx="715931" cy="740321"/>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Nota Informativa</a:t>
          </a:r>
        </a:p>
      </dsp:txBody>
      <dsp:txXfrm>
        <a:off x="34949" y="34949"/>
        <a:ext cx="646033" cy="670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524242" y="-733623"/>
          <a:ext cx="592257" cy="2208292"/>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0" kern="1200">
              <a:latin typeface="Times New Roman" panose="02020603050405020304" pitchFamily="18" charset="0"/>
              <a:cs typeface="Times New Roman" panose="02020603050405020304" pitchFamily="18" charset="0"/>
            </a:rPr>
            <a:t>En los </a:t>
          </a:r>
          <a:r>
            <a:rPr lang="en-US" sz="900" b="0" strike="noStrike" kern="1200">
              <a:latin typeface="Times New Roman" panose="02020603050405020304" pitchFamily="18" charset="0"/>
              <a:cs typeface="Times New Roman" panose="02020603050405020304" pitchFamily="18" charset="0"/>
            </a:rPr>
            <a:t>estándares</a:t>
          </a:r>
          <a:r>
            <a:rPr lang="en-US" sz="900" b="0" kern="1200">
              <a:latin typeface="Times New Roman" panose="02020603050405020304" pitchFamily="18" charset="0"/>
              <a:cs typeface="Times New Roman" panose="02020603050405020304" pitchFamily="18" charset="0"/>
            </a:rPr>
            <a:t> internacionales, un gasto es </a:t>
          </a:r>
          <a:r>
            <a:rPr lang="en-US" sz="900" b="1" kern="1200">
              <a:latin typeface="Times New Roman" panose="02020603050405020304" pitchFamily="18" charset="0"/>
              <a:cs typeface="Times New Roman" panose="02020603050405020304" pitchFamily="18" charset="0"/>
            </a:rPr>
            <a:t>una disminución del patrimonio neto como resultado de una transacción </a:t>
          </a:r>
          <a:r>
            <a:rPr lang="en-US" sz="900" b="0" kern="1200">
              <a:latin typeface="Times New Roman" panose="02020603050405020304" pitchFamily="18" charset="0"/>
              <a:cs typeface="Times New Roman" panose="02020603050405020304" pitchFamily="18" charset="0"/>
            </a:rPr>
            <a:t>(MEFP 2014) </a:t>
          </a:r>
        </a:p>
      </dsp:txBody>
      <dsp:txXfrm rot="-5400000">
        <a:off x="716225" y="103306"/>
        <a:ext cx="2179380" cy="534433"/>
      </dsp:txXfrm>
    </dsp:sp>
    <dsp:sp modelId="{07EE568B-6A23-417E-857A-D096AE89DF66}">
      <dsp:nvSpPr>
        <dsp:cNvPr id="0" name=""/>
        <dsp:cNvSpPr/>
      </dsp:nvSpPr>
      <dsp:spPr>
        <a:xfrm>
          <a:off x="0" y="0"/>
          <a:ext cx="715931" cy="740321"/>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Nota Informativa</a:t>
          </a:r>
        </a:p>
      </dsp:txBody>
      <dsp:txXfrm>
        <a:off x="34949" y="34949"/>
        <a:ext cx="646033" cy="670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281887" y="-368725"/>
          <a:ext cx="1268252" cy="2324316"/>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0" kern="1200">
              <a:latin typeface="Times New Roman" panose="02020603050405020304" pitchFamily="18" charset="0"/>
              <a:cs typeface="Times New Roman" panose="02020603050405020304" pitchFamily="18" charset="0"/>
            </a:rPr>
            <a:t>Una transacción es un flujo económico que consiste en una interacción entre unidades institucionales </a:t>
          </a:r>
          <a:r>
            <a:rPr lang="en-US" sz="900" b="1" kern="1200">
              <a:latin typeface="Times New Roman" panose="02020603050405020304" pitchFamily="18" charset="0"/>
              <a:cs typeface="Times New Roman" panose="02020603050405020304" pitchFamily="18" charset="0"/>
            </a:rPr>
            <a:t>por mutuo acuerdo o mediante la aplicación de la ley.... (MEFP 2014)</a:t>
          </a:r>
          <a:r>
            <a:rPr lang="en-US" sz="900" b="0" kern="1200">
              <a:latin typeface="Times New Roman" panose="02020603050405020304" pitchFamily="18" charset="0"/>
              <a:cs typeface="Times New Roman" panose="02020603050405020304" pitchFamily="18" charset="0"/>
            </a:rPr>
            <a:t>. Las transacciones en activos y pasivos </a:t>
          </a:r>
          <a:r>
            <a:rPr lang="en-US" sz="900" b="1" kern="1200">
              <a:latin typeface="Times New Roman" panose="02020603050405020304" pitchFamily="18" charset="0"/>
              <a:cs typeface="Times New Roman" panose="02020603050405020304" pitchFamily="18" charset="0"/>
            </a:rPr>
            <a:t>no generan cambios en el patrimonio neto, </a:t>
          </a:r>
          <a:r>
            <a:rPr lang="en-US" sz="900" b="0" kern="1200">
              <a:latin typeface="Times New Roman" panose="02020603050405020304" pitchFamily="18" charset="0"/>
              <a:cs typeface="Times New Roman" panose="02020603050405020304" pitchFamily="18" charset="0"/>
            </a:rPr>
            <a:t>por ende no se considera como gasto o ingreso.</a:t>
          </a:r>
        </a:p>
      </dsp:txBody>
      <dsp:txXfrm rot="-5400000">
        <a:off x="753856" y="221217"/>
        <a:ext cx="2262405" cy="1144430"/>
      </dsp:txXfrm>
    </dsp:sp>
    <dsp:sp modelId="{07EE568B-6A23-417E-857A-D096AE89DF66}">
      <dsp:nvSpPr>
        <dsp:cNvPr id="0" name=""/>
        <dsp:cNvSpPr/>
      </dsp:nvSpPr>
      <dsp:spPr>
        <a:xfrm>
          <a:off x="0" y="90218"/>
          <a:ext cx="753546" cy="1404874"/>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6785" y="127003"/>
        <a:ext cx="679976" cy="13313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1340883" y="-435918"/>
          <a:ext cx="1170811" cy="2336781"/>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Las "Erogaciones" poseen cierta similitud conceptual al concepto de gasto en la metodología nacional, sin embargo, existen diferencias. </a:t>
          </a:r>
          <a:r>
            <a:rPr lang="en-US" sz="900" b="0" kern="1200">
              <a:latin typeface="Times New Roman" panose="02020603050405020304" pitchFamily="18" charset="0"/>
              <a:cs typeface="Times New Roman" panose="02020603050405020304" pitchFamily="18" charset="0"/>
            </a:rPr>
            <a:t>En </a:t>
          </a:r>
          <a:r>
            <a:rPr lang="en-US" sz="900" b="0" kern="1200">
              <a:solidFill>
                <a:sysClr val="windowText" lastClr="000000"/>
              </a:solidFill>
              <a:latin typeface="Times New Roman" panose="02020603050405020304" pitchFamily="18" charset="0"/>
              <a:cs typeface="Times New Roman" panose="02020603050405020304" pitchFamily="18" charset="0"/>
            </a:rPr>
            <a:t>los </a:t>
          </a:r>
          <a:r>
            <a:rPr lang="en-US" sz="900" b="0"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900" b="0" kern="1200">
              <a:solidFill>
                <a:sysClr val="windowText" lastClr="000000"/>
              </a:solidFill>
              <a:latin typeface="Times New Roman" panose="02020603050405020304" pitchFamily="18" charset="0"/>
              <a:cs typeface="Times New Roman" panose="02020603050405020304" pitchFamily="18" charset="0"/>
            </a:rPr>
            <a:t> internacionales,</a:t>
          </a:r>
          <a:r>
            <a:rPr lang="en-US" sz="900" b="1" kern="1200">
              <a:solidFill>
                <a:sysClr val="windowText" lastClr="000000"/>
              </a:solidFill>
              <a:latin typeface="Times New Roman" panose="02020603050405020304" pitchFamily="18" charset="0"/>
              <a:cs typeface="Times New Roman" panose="02020603050405020304" pitchFamily="18" charset="0"/>
            </a:rPr>
            <a:t> </a:t>
          </a:r>
          <a:r>
            <a:rPr lang="en-US" sz="900" b="0" kern="1200">
              <a:solidFill>
                <a:sysClr val="windowText" lastClr="000000"/>
              </a:solidFill>
              <a:latin typeface="Times New Roman" panose="02020603050405020304" pitchFamily="18" charset="0"/>
              <a:cs typeface="Times New Roman" panose="02020603050405020304" pitchFamily="18" charset="0"/>
            </a:rPr>
            <a:t>una erogación es </a:t>
          </a:r>
          <a:r>
            <a:rPr lang="en-US" sz="900" b="1" kern="1200">
              <a:solidFill>
                <a:sysClr val="windowText" lastClr="000000"/>
              </a:solidFill>
              <a:latin typeface="Times New Roman" panose="02020603050405020304" pitchFamily="18" charset="0"/>
              <a:cs typeface="Times New Roman" panose="02020603050405020304" pitchFamily="18" charset="0"/>
            </a:rPr>
            <a:t>la suma de los gastos y la inversión neta en activos </a:t>
          </a:r>
          <a:r>
            <a:rPr lang="en-US" sz="900" b="1" kern="1200">
              <a:latin typeface="Times New Roman" panose="02020603050405020304" pitchFamily="18" charset="0"/>
              <a:cs typeface="Times New Roman" panose="02020603050405020304" pitchFamily="18" charset="0"/>
            </a:rPr>
            <a:t>no financieros (MEFP 2014) </a:t>
          </a:r>
          <a:endParaRPr lang="en-US" sz="900" b="0" kern="1200">
            <a:latin typeface="Times New Roman" panose="02020603050405020304" pitchFamily="18" charset="0"/>
            <a:cs typeface="Times New Roman" panose="02020603050405020304" pitchFamily="18" charset="0"/>
          </a:endParaRPr>
        </a:p>
      </dsp:txBody>
      <dsp:txXfrm rot="-5400000">
        <a:off x="757898" y="204221"/>
        <a:ext cx="2279627" cy="1056503"/>
      </dsp:txXfrm>
    </dsp:sp>
    <dsp:sp modelId="{07EE568B-6A23-417E-857A-D096AE89DF66}">
      <dsp:nvSpPr>
        <dsp:cNvPr id="0" name=""/>
        <dsp:cNvSpPr/>
      </dsp:nvSpPr>
      <dsp:spPr>
        <a:xfrm>
          <a:off x="0" y="0"/>
          <a:ext cx="757588" cy="1463514"/>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6982" y="36982"/>
        <a:ext cx="683624" cy="13895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6B8DD-1898-487D-8A92-C1351B85FE61}">
      <dsp:nvSpPr>
        <dsp:cNvPr id="0" name=""/>
        <dsp:cNvSpPr/>
      </dsp:nvSpPr>
      <dsp:spPr>
        <a:xfrm rot="5400000">
          <a:off x="2652451" y="-1480887"/>
          <a:ext cx="1561266" cy="4915266"/>
        </a:xfrm>
        <a:prstGeom prst="round2SameRect">
          <a:avLst/>
        </a:prstGeom>
        <a:solidFill>
          <a:schemeClr val="accent1">
            <a:alpha val="90000"/>
            <a:tint val="55000"/>
            <a:hueOff val="0"/>
            <a:satOff val="0"/>
            <a:lumOff val="0"/>
            <a:alphaOff val="0"/>
          </a:schemeClr>
        </a:solidFill>
        <a:ln w="12700" cap="flat" cmpd="sng" algn="ctr">
          <a:solidFill>
            <a:schemeClr val="tx1">
              <a:lumMod val="65000"/>
              <a:lumOff val="35000"/>
              <a:alpha val="90000"/>
            </a:schemeClr>
          </a:solidFill>
          <a:prstDash val="solid"/>
        </a:ln>
        <a:effectLst>
          <a:outerShdw blurRad="50800" dist="38100" algn="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Existe una diferencia importante entre el concepto de resultado fiscal con metodología nacional y los </a:t>
          </a:r>
          <a:r>
            <a:rPr lang="en-US" sz="900" kern="1200">
              <a:solidFill>
                <a:sysClr val="windowText" lastClr="000000"/>
              </a:solidFill>
              <a:latin typeface="Times New Roman" panose="02020603050405020304" pitchFamily="18" charset="0"/>
              <a:cs typeface="Times New Roman" panose="02020603050405020304" pitchFamily="18" charset="0"/>
            </a:rPr>
            <a:t>estándares internacionales, lo cual </a:t>
          </a:r>
          <a:r>
            <a:rPr lang="en-US" sz="900" kern="1200">
              <a:latin typeface="Times New Roman" panose="02020603050405020304" pitchFamily="18" charset="0"/>
              <a:cs typeface="Times New Roman" panose="02020603050405020304" pitchFamily="18" charset="0"/>
            </a:rPr>
            <a:t>hace que éstos no sean perfectamente comparables. </a:t>
          </a:r>
          <a:r>
            <a:rPr lang="en-US" sz="900" b="1" kern="1200">
              <a:latin typeface="Times New Roman" panose="02020603050405020304" pitchFamily="18" charset="0"/>
              <a:cs typeface="Times New Roman" panose="02020603050405020304" pitchFamily="18" charset="0"/>
            </a:rPr>
            <a:t>En los </a:t>
          </a:r>
          <a:r>
            <a:rPr lang="en-US" sz="900" b="1"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900" b="1" kern="1200">
              <a:latin typeface="Times New Roman" panose="02020603050405020304" pitchFamily="18" charset="0"/>
              <a:cs typeface="Times New Roman" panose="02020603050405020304" pitchFamily="18" charset="0"/>
            </a:rPr>
            <a:t> internacionales existen los siguientes indicadores fiscales:</a:t>
          </a:r>
          <a:endParaRPr lang="en-US" sz="900" b="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endParaRPr lang="en-US" sz="900" b="1"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1.) Resultado Operativo Neto (NOB) = </a:t>
          </a:r>
          <a:r>
            <a:rPr lang="en-US" sz="900" b="0" kern="1200">
              <a:latin typeface="Times New Roman" panose="02020603050405020304" pitchFamily="18" charset="0"/>
              <a:cs typeface="Times New Roman" panose="02020603050405020304" pitchFamily="18" charset="0"/>
            </a:rPr>
            <a:t>Ingresos - Gastos</a:t>
          </a: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2.) Resultado Operativo Bruto (GOB) = </a:t>
          </a:r>
          <a:r>
            <a:rPr lang="en-US" sz="900" b="0" kern="1200">
              <a:latin typeface="Times New Roman" panose="02020603050405020304" pitchFamily="18" charset="0"/>
              <a:cs typeface="Times New Roman" panose="02020603050405020304" pitchFamily="18" charset="0"/>
            </a:rPr>
            <a:t>Ingresos - Gastos + Consumo de capital fijo</a:t>
          </a: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3.) P</a:t>
          </a:r>
          <a:r>
            <a:rPr lang="en-US" sz="900" b="1" kern="1200">
              <a:solidFill>
                <a:sysClr val="windowText" lastClr="000000"/>
              </a:solidFill>
              <a:latin typeface="Times New Roman" panose="02020603050405020304" pitchFamily="18" charset="0"/>
              <a:cs typeface="Times New Roman" panose="02020603050405020304" pitchFamily="18" charset="0"/>
            </a:rPr>
            <a:t>réstamo </a:t>
          </a:r>
          <a:r>
            <a:rPr lang="en-US" sz="900" b="1" kern="1200">
              <a:latin typeface="Times New Roman" panose="02020603050405020304" pitchFamily="18" charset="0"/>
              <a:cs typeface="Times New Roman" panose="02020603050405020304" pitchFamily="18" charset="0"/>
            </a:rPr>
            <a:t>o Endeudamiento Neto (NLB) = </a:t>
          </a:r>
          <a:r>
            <a:rPr lang="en-US" sz="900" b="0" kern="1200">
              <a:latin typeface="Times New Roman" panose="02020603050405020304" pitchFamily="18" charset="0"/>
              <a:cs typeface="Times New Roman" panose="02020603050405020304" pitchFamily="18" charset="0"/>
            </a:rPr>
            <a:t>NOB - Inversión Neta en Activos no financieros</a:t>
          </a:r>
        </a:p>
        <a:p>
          <a:pPr marL="57150" lvl="1" indent="-57150" algn="just" defTabSz="400050">
            <a:lnSpc>
              <a:spcPct val="90000"/>
            </a:lnSpc>
            <a:spcBef>
              <a:spcPct val="0"/>
            </a:spcBef>
            <a:spcAft>
              <a:spcPct val="15000"/>
            </a:spcAft>
            <a:buChar char="•"/>
          </a:pPr>
          <a:endParaRPr lang="en-US" sz="900" b="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El NOB equivale a las variaciones en el patrimonio neto derivado a transacciones mientras que el NLB también equivale al financiamiento total (MEFP 2014)</a:t>
          </a:r>
        </a:p>
      </dsp:txBody>
      <dsp:txXfrm rot="-5400000">
        <a:off x="975452" y="272327"/>
        <a:ext cx="4839051" cy="1408836"/>
      </dsp:txXfrm>
    </dsp:sp>
    <dsp:sp modelId="{07EE568B-6A23-417E-857A-D096AE89DF66}">
      <dsp:nvSpPr>
        <dsp:cNvPr id="0" name=""/>
        <dsp:cNvSpPr/>
      </dsp:nvSpPr>
      <dsp:spPr>
        <a:xfrm>
          <a:off x="0" y="60535"/>
          <a:ext cx="966384" cy="1830507"/>
        </a:xfrm>
        <a:prstGeom prst="roundRect">
          <a:avLst/>
        </a:prstGeom>
        <a:solidFill>
          <a:schemeClr val="accent1">
            <a:shade val="50000"/>
            <a:hueOff val="0"/>
            <a:satOff val="0"/>
            <a:lumOff val="0"/>
            <a:alphaOff val="0"/>
          </a:schemeClr>
        </a:solidFill>
        <a:ln w="9525"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47175" y="107710"/>
        <a:ext cx="872034" cy="173615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0.51463</cdr:x>
      <cdr:y>0.86122</cdr:y>
    </cdr:from>
    <cdr:to>
      <cdr:x>1</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552576" y="2009775"/>
          <a:ext cx="1464309" cy="3238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0.00247</cdr:x>
      <cdr:y>0.90751</cdr:y>
    </cdr:from>
    <cdr:to>
      <cdr:x>0.18837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4659" y="3299156"/>
          <a:ext cx="1103262" cy="3362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0.81689</cdr:x>
      <cdr:y>0.28701</cdr:y>
    </cdr:from>
    <cdr:to>
      <cdr:x>0.81689</cdr:x>
      <cdr:y>0.88429</cdr:y>
    </cdr:to>
    <cdr:cxnSp macro="">
      <cdr:nvCxnSpPr>
        <cdr:cNvPr id="3" name="Conector recto 2"/>
        <cdr:cNvCxnSpPr/>
      </cdr:nvCxnSpPr>
      <cdr:spPr>
        <a:xfrm xmlns:a="http://schemas.openxmlformats.org/drawingml/2006/main">
          <a:off x="4878109" y="520510"/>
          <a:ext cx="0" cy="1083203"/>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0.53462</cdr:x>
      <cdr:y>0.82756</cdr:y>
    </cdr:from>
    <cdr:to>
      <cdr:x>1</cdr:x>
      <cdr:y>0.82756</cdr:y>
    </cdr:to>
    <cdr:cxnSp macro="">
      <cdr:nvCxnSpPr>
        <cdr:cNvPr id="3" name="Conector recto 2"/>
        <cdr:cNvCxnSpPr/>
      </cdr:nvCxnSpPr>
      <cdr:spPr>
        <a:xfrm xmlns:a="http://schemas.openxmlformats.org/drawingml/2006/main">
          <a:off x="1566032" y="3638546"/>
          <a:ext cx="1363223" cy="0"/>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0.48775</cdr:x>
      <cdr:y>0.94544</cdr:y>
    </cdr:from>
    <cdr:to>
      <cdr:x>0.98852</cdr:x>
      <cdr:y>1</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499980" y="5435600"/>
          <a:ext cx="1540020" cy="3136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0.59864</cdr:x>
      <cdr:y>0.8563</cdr:y>
    </cdr:from>
    <cdr:to>
      <cdr:x>0.99767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676400" y="1533376"/>
          <a:ext cx="1117425" cy="2573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0.0049</cdr:x>
      <cdr:y>0.84691</cdr:y>
    </cdr:from>
    <cdr:to>
      <cdr:x>0.43163</cdr:x>
      <cdr:y>0.96701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29261" y="1502587"/>
          <a:ext cx="2549049" cy="2130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0.12208</cdr:x>
      <cdr:y>0.21336</cdr:y>
    </cdr:from>
    <cdr:to>
      <cdr:x>0.12329</cdr:x>
      <cdr:y>0.78132</cdr:y>
    </cdr:to>
    <cdr:cxnSp macro="">
      <cdr:nvCxnSpPr>
        <cdr:cNvPr id="3" name="Conector recto 2"/>
        <cdr:cNvCxnSpPr/>
      </cdr:nvCxnSpPr>
      <cdr:spPr>
        <a:xfrm xmlns:a="http://schemas.openxmlformats.org/drawingml/2006/main" flipH="1">
          <a:off x="725572" y="487469"/>
          <a:ext cx="7192" cy="1297635"/>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0.58965</cdr:x>
      <cdr:y>0.88564</cdr:y>
    </cdr:from>
    <cdr:to>
      <cdr:x>1</cdr:x>
      <cdr:y>1</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3504644" y="2114550"/>
          <a:ext cx="2438956" cy="2730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7.xml><?xml version="1.0" encoding="utf-8"?>
<c:userShapes xmlns:c="http://schemas.openxmlformats.org/drawingml/2006/chart">
  <cdr:relSizeAnchor xmlns:cdr="http://schemas.openxmlformats.org/drawingml/2006/chartDrawing">
    <cdr:from>
      <cdr:x>0.74628</cdr:x>
      <cdr:y>0.91503</cdr:y>
    </cdr:from>
    <cdr:to>
      <cdr:x>1</cdr:x>
      <cdr:y>0.9794</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4486296" y="2928458"/>
          <a:ext cx="1525249" cy="2060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0.87679</cdr:x>
      <cdr:y>0.08458</cdr:y>
    </cdr:from>
    <cdr:to>
      <cdr:x>0.97199</cdr:x>
      <cdr:y>0.85847</cdr:y>
    </cdr:to>
    <cdr:sp macro="" textlink="">
      <cdr:nvSpPr>
        <cdr:cNvPr id="2" name="Rectángulo: esquinas redondeadas 1"/>
        <cdr:cNvSpPr/>
      </cdr:nvSpPr>
      <cdr:spPr>
        <a:xfrm xmlns:a="http://schemas.openxmlformats.org/drawingml/2006/main">
          <a:off x="2896819" y="175728"/>
          <a:ext cx="314554" cy="1607927"/>
        </a:xfrm>
        <a:prstGeom xmlns:a="http://schemas.openxmlformats.org/drawingml/2006/main" prst="roundRect">
          <a:avLst/>
        </a:prstGeom>
        <a:solidFill xmlns:a="http://schemas.openxmlformats.org/drawingml/2006/main">
          <a:schemeClr val="tx2">
            <a:alpha val="26000"/>
          </a:schemeClr>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9.xml><?xml version="1.0" encoding="utf-8"?>
<c:userShapes xmlns:c="http://schemas.openxmlformats.org/drawingml/2006/chart">
  <cdr:relSizeAnchor xmlns:cdr="http://schemas.openxmlformats.org/drawingml/2006/chartDrawing">
    <cdr:from>
      <cdr:x>0.87483</cdr:x>
      <cdr:y>0.12258</cdr:y>
    </cdr:from>
    <cdr:to>
      <cdr:x>0.97155</cdr:x>
      <cdr:y>0.93449</cdr:y>
    </cdr:to>
    <cdr:sp macro="" textlink="">
      <cdr:nvSpPr>
        <cdr:cNvPr id="2" name="Rectángulo: esquinas redondeadas 1"/>
        <cdr:cNvSpPr/>
      </cdr:nvSpPr>
      <cdr:spPr>
        <a:xfrm xmlns:a="http://schemas.openxmlformats.org/drawingml/2006/main">
          <a:off x="3130905" y="254687"/>
          <a:ext cx="346135" cy="1686922"/>
        </a:xfrm>
        <a:prstGeom xmlns:a="http://schemas.openxmlformats.org/drawingml/2006/main" prst="roundRect">
          <a:avLst/>
        </a:prstGeom>
        <a:solidFill xmlns:a="http://schemas.openxmlformats.org/drawingml/2006/main">
          <a:schemeClr val="tx2">
            <a:alpha val="26000"/>
          </a:schemeClr>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Dirección de Análisis y Política Fiscal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5B47F-8224-4013-8EE9-B6C68F0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3448</Words>
  <Characters>18964</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las Finanzas públicas</vt:lpstr>
      <vt:lpstr>Informe de las FinanzAs públicas</vt:lpstr>
    </vt:vector>
  </TitlesOfParts>
  <Company>Dirección de Análisis y Política Fiscal</Company>
  <LinksUpToDate>false</LinksUpToDate>
  <CharactersWithSpaces>22368</CharactersWithSpaces>
  <SharedDoc>false</SharedDoc>
  <HLinks>
    <vt:vector size="102" baseType="variant">
      <vt:variant>
        <vt:i4>1966137</vt:i4>
      </vt:variant>
      <vt:variant>
        <vt:i4>98</vt:i4>
      </vt:variant>
      <vt:variant>
        <vt:i4>0</vt:i4>
      </vt:variant>
      <vt:variant>
        <vt:i4>5</vt:i4>
      </vt:variant>
      <vt:variant>
        <vt:lpwstr/>
      </vt:variant>
      <vt:variant>
        <vt:lpwstr>_Toc71108078</vt:lpwstr>
      </vt:variant>
      <vt:variant>
        <vt:i4>1114169</vt:i4>
      </vt:variant>
      <vt:variant>
        <vt:i4>92</vt:i4>
      </vt:variant>
      <vt:variant>
        <vt:i4>0</vt:i4>
      </vt:variant>
      <vt:variant>
        <vt:i4>5</vt:i4>
      </vt:variant>
      <vt:variant>
        <vt:lpwstr/>
      </vt:variant>
      <vt:variant>
        <vt:lpwstr>_Toc71108077</vt:lpwstr>
      </vt:variant>
      <vt:variant>
        <vt:i4>1245241</vt:i4>
      </vt:variant>
      <vt:variant>
        <vt:i4>86</vt:i4>
      </vt:variant>
      <vt:variant>
        <vt:i4>0</vt:i4>
      </vt:variant>
      <vt:variant>
        <vt:i4>5</vt:i4>
      </vt:variant>
      <vt:variant>
        <vt:lpwstr/>
      </vt:variant>
      <vt:variant>
        <vt:lpwstr>_Toc71108075</vt:lpwstr>
      </vt:variant>
      <vt:variant>
        <vt:i4>1179705</vt:i4>
      </vt:variant>
      <vt:variant>
        <vt:i4>80</vt:i4>
      </vt:variant>
      <vt:variant>
        <vt:i4>0</vt:i4>
      </vt:variant>
      <vt:variant>
        <vt:i4>5</vt:i4>
      </vt:variant>
      <vt:variant>
        <vt:lpwstr/>
      </vt:variant>
      <vt:variant>
        <vt:lpwstr>_Toc71108074</vt:lpwstr>
      </vt:variant>
      <vt:variant>
        <vt:i4>1376313</vt:i4>
      </vt:variant>
      <vt:variant>
        <vt:i4>74</vt:i4>
      </vt:variant>
      <vt:variant>
        <vt:i4>0</vt:i4>
      </vt:variant>
      <vt:variant>
        <vt:i4>5</vt:i4>
      </vt:variant>
      <vt:variant>
        <vt:lpwstr/>
      </vt:variant>
      <vt:variant>
        <vt:lpwstr>_Toc71108073</vt:lpwstr>
      </vt:variant>
      <vt:variant>
        <vt:i4>1048632</vt:i4>
      </vt:variant>
      <vt:variant>
        <vt:i4>68</vt:i4>
      </vt:variant>
      <vt:variant>
        <vt:i4>0</vt:i4>
      </vt:variant>
      <vt:variant>
        <vt:i4>5</vt:i4>
      </vt:variant>
      <vt:variant>
        <vt:lpwstr/>
      </vt:variant>
      <vt:variant>
        <vt:lpwstr>_Toc71108066</vt:lpwstr>
      </vt:variant>
      <vt:variant>
        <vt:i4>1245240</vt:i4>
      </vt:variant>
      <vt:variant>
        <vt:i4>62</vt:i4>
      </vt:variant>
      <vt:variant>
        <vt:i4>0</vt:i4>
      </vt:variant>
      <vt:variant>
        <vt:i4>5</vt:i4>
      </vt:variant>
      <vt:variant>
        <vt:lpwstr/>
      </vt:variant>
      <vt:variant>
        <vt:lpwstr>_Toc71108065</vt:lpwstr>
      </vt:variant>
      <vt:variant>
        <vt:i4>1179704</vt:i4>
      </vt:variant>
      <vt:variant>
        <vt:i4>56</vt:i4>
      </vt:variant>
      <vt:variant>
        <vt:i4>0</vt:i4>
      </vt:variant>
      <vt:variant>
        <vt:i4>5</vt:i4>
      </vt:variant>
      <vt:variant>
        <vt:lpwstr/>
      </vt:variant>
      <vt:variant>
        <vt:lpwstr>_Toc71108064</vt:lpwstr>
      </vt:variant>
      <vt:variant>
        <vt:i4>1310776</vt:i4>
      </vt:variant>
      <vt:variant>
        <vt:i4>50</vt:i4>
      </vt:variant>
      <vt:variant>
        <vt:i4>0</vt:i4>
      </vt:variant>
      <vt:variant>
        <vt:i4>5</vt:i4>
      </vt:variant>
      <vt:variant>
        <vt:lpwstr/>
      </vt:variant>
      <vt:variant>
        <vt:lpwstr>_Toc71108062</vt:lpwstr>
      </vt:variant>
      <vt:variant>
        <vt:i4>1507384</vt:i4>
      </vt:variant>
      <vt:variant>
        <vt:i4>44</vt:i4>
      </vt:variant>
      <vt:variant>
        <vt:i4>0</vt:i4>
      </vt:variant>
      <vt:variant>
        <vt:i4>5</vt:i4>
      </vt:variant>
      <vt:variant>
        <vt:lpwstr/>
      </vt:variant>
      <vt:variant>
        <vt:lpwstr>_Toc71108061</vt:lpwstr>
      </vt:variant>
      <vt:variant>
        <vt:i4>2031675</vt:i4>
      </vt:variant>
      <vt:variant>
        <vt:i4>38</vt:i4>
      </vt:variant>
      <vt:variant>
        <vt:i4>0</vt:i4>
      </vt:variant>
      <vt:variant>
        <vt:i4>5</vt:i4>
      </vt:variant>
      <vt:variant>
        <vt:lpwstr/>
      </vt:variant>
      <vt:variant>
        <vt:lpwstr>_Toc71108059</vt:lpwstr>
      </vt:variant>
      <vt:variant>
        <vt:i4>1966139</vt:i4>
      </vt:variant>
      <vt:variant>
        <vt:i4>32</vt:i4>
      </vt:variant>
      <vt:variant>
        <vt:i4>0</vt:i4>
      </vt:variant>
      <vt:variant>
        <vt:i4>5</vt:i4>
      </vt:variant>
      <vt:variant>
        <vt:lpwstr/>
      </vt:variant>
      <vt:variant>
        <vt:lpwstr>_Toc71108058</vt:lpwstr>
      </vt:variant>
      <vt:variant>
        <vt:i4>1245243</vt:i4>
      </vt:variant>
      <vt:variant>
        <vt:i4>26</vt:i4>
      </vt:variant>
      <vt:variant>
        <vt:i4>0</vt:i4>
      </vt:variant>
      <vt:variant>
        <vt:i4>5</vt:i4>
      </vt:variant>
      <vt:variant>
        <vt:lpwstr/>
      </vt:variant>
      <vt:variant>
        <vt:lpwstr>_Toc71108055</vt:lpwstr>
      </vt:variant>
      <vt:variant>
        <vt:i4>1507387</vt:i4>
      </vt:variant>
      <vt:variant>
        <vt:i4>20</vt:i4>
      </vt:variant>
      <vt:variant>
        <vt:i4>0</vt:i4>
      </vt:variant>
      <vt:variant>
        <vt:i4>5</vt:i4>
      </vt:variant>
      <vt:variant>
        <vt:lpwstr/>
      </vt:variant>
      <vt:variant>
        <vt:lpwstr>_Toc71108051</vt:lpwstr>
      </vt:variant>
      <vt:variant>
        <vt:i4>1441851</vt:i4>
      </vt:variant>
      <vt:variant>
        <vt:i4>14</vt:i4>
      </vt:variant>
      <vt:variant>
        <vt:i4>0</vt:i4>
      </vt:variant>
      <vt:variant>
        <vt:i4>5</vt:i4>
      </vt:variant>
      <vt:variant>
        <vt:lpwstr/>
      </vt:variant>
      <vt:variant>
        <vt:lpwstr>_Toc71108050</vt:lpwstr>
      </vt:variant>
      <vt:variant>
        <vt:i4>2031674</vt:i4>
      </vt:variant>
      <vt:variant>
        <vt:i4>8</vt:i4>
      </vt:variant>
      <vt:variant>
        <vt:i4>0</vt:i4>
      </vt:variant>
      <vt:variant>
        <vt:i4>5</vt:i4>
      </vt:variant>
      <vt:variant>
        <vt:lpwstr/>
      </vt:variant>
      <vt:variant>
        <vt:lpwstr>_Toc71108049</vt:lpwstr>
      </vt:variant>
      <vt:variant>
        <vt:i4>1966138</vt:i4>
      </vt:variant>
      <vt:variant>
        <vt:i4>2</vt:i4>
      </vt:variant>
      <vt:variant>
        <vt:i4>0</vt:i4>
      </vt:variant>
      <vt:variant>
        <vt:i4>5</vt:i4>
      </vt:variant>
      <vt:variant>
        <vt:lpwstr/>
      </vt:variant>
      <vt:variant>
        <vt:lpwstr>_Toc71108048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Finanzas públicas</dc:title>
  <dc:subject>Tercer Trimestre 2023</dc:subject>
  <dc:creator>DAPF</dc:creator>
  <cp:keywords/>
  <dc:description/>
  <cp:lastModifiedBy>Carlos Herrera</cp:lastModifiedBy>
  <cp:revision>25</cp:revision>
  <cp:lastPrinted>2023-12-22T23:24:00Z</cp:lastPrinted>
  <dcterms:created xsi:type="dcterms:W3CDTF">2023-12-22T16:44:00Z</dcterms:created>
  <dcterms:modified xsi:type="dcterms:W3CDTF">2023-12-22T23:24:00Z</dcterms:modified>
  <cp:category>Ministerio de Finanzas Públicas</cp:category>
</cp:coreProperties>
</file>